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472</w:t>
      </w:r>
    </w:p>
    <w:p>
      <w:r>
        <w:rPr>
          <w:b/>
        </w:rPr>
        <w:t xml:space="preserve">Datum: </w:t>
      </w:r>
      <w:r>
        <w:t>1924-05-07</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Kerstin Hesselgren (Folkpartiet, woman)</w:t>
      </w:r>
    </w:p>
    <w:p>
      <w:r>
        <w:rPr>
          <w:b w:val="0"/>
        </w:rPr>
        <w:t>Herr greve och talman! TI denna paragraf yrkas, att fader ensam skall vara förmyndare för underårigt barn. Men i en av herr Lindhagen väckt motion har yrkats, att föräldrarna tillsammans skola vara förmyndare för barnet. Utskottet har icke bifallit denna motion, utan avfärdat den med att frågan har ringa praktisk betydelse. Men nu är den också på samma gång en principfråga, och när det gäller principsaker, kan man icke alltid överblicka konsekvenserna av att bryta emot en princip. Den princip, man i det föreliggande utskottsförslaget bryter emot, är den som infördes år 1920 med de nya äktenskapslagarna, enligt vilka båda makarna i alla avseenden äro likställda, såväl sinsemellan som när det gäller barnen. Frågan om förmynderskapet var uppe samtidigt med att dessa båda lagar behandlades, och man hade även ett förslag om att ändra 20 kap. 1 och 2 $$ i ärvdabalken. Men lagberedningen avstyrkte förslaget därför, att den ej ansåg en sådan ändring erforderlig eller tillrådlig. Detta lagberedningens yttrande gav anledning till rätt mycken diskussion och en del protester, men man lät sig nöja med att det blott gällde ett provisorium, då ärvdabalken var under omarbetning och förändringen lämpligen kunde göras i samband härmed. Nu har den nya lagen kommit fram, men det</w:t>
        <w:br/>
        <w:br/>
        <w:t>är ingen ändring gjord. Fadern är alltjämt ensam förmyndare som i den gamla ärvdabalken. Utskottet skjuter ifrån sig saken med att säga, att frågan har så liten praktisk betydelse, det är i så få fall den skulle kunna få tillämpning, då det ju endast gäller barn som få egendom genom gåva eller testamente, och det, säger man, förekommer så sällan, att det icke betyder någonting. Så vitt jag förstår, är det icke antalet fall, som gör, att en sak har betydelse eller icke, ty för det enskilda fallet är det lika kännbart, som för de många, om man råkar in på fel väg.</w:t>
        <w:br/>
        <w:br/>
        <w:t>Men den största betydelsen här är, att man tagit avstånd från en princip, som man godkänt och lagfäst. Skall man taga avstånd från en lagfäst princip, bör man, så vitt jag förstår, ha verkligt starka skäl härför. Nu kan jag icke finna att vare sig utskottet eller lagberedningen, som utskottet citerar, kommer med något annat skäl, än att föräldrarna, om de båda två äro förmyndare, kunna bli osams. Jag vet icke, varför just föräldrar som äro samförmyndare skulle riskera att bli mer osams än två andra personer som äro samförmyndare. Här är i lagförslaget föreskrivet, att det skall vara samförmyndare under vissa omständigheter, och jag kan icke inse, att risken för olika meningar skulle vara större, om makar äro samförmyndare, än vad den är annars, och inte heller, att risken skulle vara större här, än när det gäller vårdnaden om barnen. När det gäller vårdnaden, har man gått in på att godtaga möjligheten av en sådan schism. Man anser, att kravet på lika rätt i fråga om vårdnaden är så stort, att man har lagfäst denna rätt.</w:t>
        <w:br/>
        <w:br/>
        <w:t xml:space="preserve">Nu sägs det visserligen ofta, att, när det gäller ekonomiska förhållanden, är det särskilt lätt att komma osams. Jag vill lämna den saken därhän. Jag tycker, att det också är många moment i vårdnaden, som skulle kunna giva anledning till lika mycken meningsskiljaktighet. Men är det så, att det är värre med de frågorna, så har man ju även i fråga om dem vågat gå in på den principen att låta äkta makar vara likaberättigade. Vi få komma ihåg, att en man nu icke ens kan få taga en inteckning i den egendom, som han själv medfört i boet, utan att </w:t>
      </w:r>
      <w:r>
        <w:rPr>
          <w:b/>
        </w:rPr>
        <w:t>hustrun²</w:t>
      </w:r>
      <w:r>
        <w:rPr>
          <w:b w:val="0"/>
        </w:rPr>
        <w:t xml:space="preserve"> lämnar sitt medgivande och vice versa. Man har således gått ganska långt där och ansett sig kunna godtaga principen, trots att det kan föreligga vissa risker att makarna kunna komma osams. Man har i lagförslaget också förutsett, att samförmyndare kunna komma osams och därför föreslagit, att samförmyndare, som icke kunna komma överens, skola hänskjuta tvisten till en överförmyndare. Nu säger utskottet därom, att det icke tycker, det är lämpligt, att föräldrar gå denna väg och hänskjuta sina skiljaktiga meningar till överförmyndaren, därför att det skulle vara att gå emot den princip, som riksdagen uttalade, när äktenskapslagarna kommo till, att det icke kan vara lämpligt, att föräldrar skola tvista inför offentlig myndighet angående barnets angelägenheter, och det, tycker jag, är en fullkomligt riktig princip. Men jag undrar, om man alltid kan hålla fast vid denna. Om föräldrar bli så osams, så att det går till skilsmässa, hur går det då med barnets angelägenheter? De dragas, såvitt jag förstår, inför rätta på ett mycket mer kännbart sätt än här. Här skulle meningsskiljaktigheter dragas inför en överförmyndare, vilken är en enskild person, som kanske båda parterna personligen känna. Avgörandet där får icke offentlighet, som förhandlingarna vid rätten. Jag tror för min del, att, om äkta makar äro så osams, att de icke kunna komma överens om, hur barnets ekonomiska förhållanden skola skötas i händelse av arv, de äro ganska nära den gräns, som tvingar dem att gå mycket längre, tvingar dem till skilsmässa. Och då står ju barnet i samma situation i alla fall. Jag tror således icke, att detta är någon verklig svårighet i det praktiska livet. Även om fallen äro få, blir ju dock i de fall, som förekomma, </w:t>
      </w:r>
      <w:r>
        <w:rPr>
          <w:b/>
        </w:rPr>
        <w:t>moderns²</w:t>
      </w:r>
      <w:r>
        <w:rPr>
          <w:b w:val="0"/>
        </w:rPr>
        <w:t xml:space="preserve"> redan lagstadgade rätt beskuren. </w:t>
      </w:r>
      <w:r>
        <w:rPr>
          <w:b/>
        </w:rPr>
        <w:t>Hon²</w:t>
      </w:r>
      <w:r>
        <w:rPr>
          <w:b w:val="0"/>
        </w:rPr>
        <w:t xml:space="preserve"> har samma rätt som mannen, när det gäller vårdnaden, men vi få komma ihåg, att vårdnaden, när det t. ex.</w:t>
        <w:br/>
        <w:br/>
        <w:t xml:space="preserve">gäller barnets uppfostran och utbildning, har ganska nära samband med ekonomien. Är fadern ensam förmyndare och har hand om barnets ekonomi, är det? icke säkert, att modern i verkligheten får den medbestämmanderätt i vårdnaden, som </w:t>
      </w:r>
      <w:r>
        <w:rPr>
          <w:b/>
        </w:rPr>
        <w:t>hon²</w:t>
      </w:r>
      <w:r>
        <w:rPr>
          <w:b w:val="0"/>
        </w:rPr>
        <w:t xml:space="preserve"> annars skulle ha. Jag vet icke, om jag är tillräckligt inne i dessa termer, men jag föreställer mig, att ordet förmyndare användes i annat sammanhang, t. ex. inom försäkringsväsendet, och att, där detta ord användes, det sålunda endast kommer att menas fadern. Det är bara en gissning, men den har jag inga belägg för. Jag törs icke säga, om det har någon praktisk betydelse.</w:t>
        <w:br/>
        <w:br/>
        <w:t xml:space="preserve">Däremot har från annat håll dragits fram en annan praktisk synpunkt. Professor Undén skrev för ett par veckor sedan i Socialdemokraten en artikel om denna sak, där han uttalat sig starkt över olämpligheten av att fadern ensam är förmyndare. Han säger, att den enda riktiga konsekvensen av de nya giftermålslagarna vore, att föräldrarna gemensamt skulle vara förmyndare. Sedan tillägger han, att det kan också vara av en viss praktisk betydelse: att modern, som medförmyndare, tvingas att sätta sig in i medlens förvaltning och deltaga i redovisningen. Skulle något sådant inträffa, som det talas om i fortsättningen av detta moment, att fadern faller ifrån eller av annan anledning icke längre kan vara förmyndare, måste modern träda in som förmyndare, därest icke </w:t>
      </w:r>
      <w:r>
        <w:rPr>
          <w:b/>
        </w:rPr>
        <w:t>hon²</w:t>
      </w:r>
      <w:r>
        <w:rPr>
          <w:b w:val="0"/>
        </w:rPr>
        <w:t xml:space="preserve"> har samma förfall, och då kan det vara så gott, att </w:t>
      </w:r>
      <w:r>
        <w:rPr>
          <w:b/>
        </w:rPr>
        <w:t>hon²</w:t>
      </w:r>
      <w:r>
        <w:rPr>
          <w:b w:val="0"/>
        </w:rPr>
        <w:t xml:space="preserve"> har reda på dessa saker, som </w:t>
      </w:r>
      <w:r>
        <w:rPr>
          <w:b/>
        </w:rPr>
        <w:t>hon²</w:t>
      </w:r>
      <w:r>
        <w:rPr>
          <w:b w:val="0"/>
        </w:rPr>
        <w:t xml:space="preserve"> kanske ganska hastigt skall taga itu med. Det förefaller mig, som om det funnes vissa rent praktiska skäl för att båda föräldrarna skola vara förmyndare, och det förefaller mig alldeles givet, att de skäl, som anföras däremot, icke ha den styrka, att de skulle berättiga till att just nu i inkörsporten, så att säga, för de nya äktenskapslagarna, med detsamma taga avstånd från grundprincipen i dessa lagar.</w:t>
        <w:br/>
        <w:br/>
        <w:t xml:space="preserve">Jag måste därför helt och hållet instämma i det uttalande, som för några dagar sedan gjordes av Stockholms Frisinnade </w:t>
      </w:r>
      <w:r>
        <w:rPr>
          <w:b/>
        </w:rPr>
        <w:t>Kvinnor¹</w:t>
      </w:r>
      <w:r>
        <w:rPr>
          <w:b w:val="0"/>
        </w:rPr>
        <w:t xml:space="preserve"> och av verkställande utskottet i Frisinnade </w:t>
      </w:r>
      <w:r>
        <w:rPr>
          <w:b/>
        </w:rPr>
        <w:t>Kvinnors¹</w:t>
      </w:r>
      <w:r>
        <w:rPr>
          <w:b w:val="0"/>
        </w:rPr>
        <w:t xml:space="preserve"> Riksförbund, i vilket uttalande det säges: »med instämmande i herr Lindhagens motion i detta avseende yrka vi på att kap. 2 8 1 mom. 1 i lagförslaget måtte få sådan lydelse, att modern tillika med fadern blir förmyndare för barn 1 äktenskap». Med anledning av vad jag här anfört hade jag tänkt, att jag skulle yrkat återremiss i denna del av paragrafen, men då ett sådant yrkande har fallit i andra kammaren, återstår mig ingenting annat än att i motionens syfte yrka på en omformulering av denna del av paragrafen.</w:t>
        <w:br/>
        <w:br/>
        <w:t>Jag får därför, herr greve och talman, yrka på att kap. 2 $ 1, första stycket, får följande lydelse: »För underårigt barn i äktenskap vare föräldrarna gemensamt förmyndare. Dör en av föräldrarna, eller kan någon av dem enligt 4 8 icke vara förmyndare eller varder någon av dem entledigad från förmynderskapet, vare den andre ensam, barnets förmyndare».</w:t>
        <w:br/>
        <w:br/>
        <w:t>Skulle kammaren vilja godtaga denna formulering, måste jag på ett par andra punkter yrka på formella ändringar, som ha samband med detta yrkande på omformulering av första stycket i kap. 2 $ 1.</w:t>
      </w:r>
    </w:p>
    <w:p>
      <w:pPr>
        <w:pStyle w:val="Heading2"/>
      </w:pPr>
      <w:r>
        <w:t>2. Carl Hederstierna (Första kammarens nationella parti, man)</w:t>
      </w:r>
    </w:p>
    <w:p>
      <w:r>
        <w:rPr>
          <w:b w:val="0"/>
        </w:rPr>
        <w:t xml:space="preserve">Ja, att </w:t>
      </w:r>
      <w:r>
        <w:rPr>
          <w:b/>
        </w:rPr>
        <w:t>fröken²</w:t>
      </w:r>
      <w:r>
        <w:rPr>
          <w:b w:val="0"/>
        </w:rPr>
        <w:t xml:space="preserve"> Hesselgren är käck, när det gäller att försvara sina medsystrar, det ha vi ju gammal erfarenhet av, men att </w:t>
      </w:r>
      <w:r>
        <w:rPr>
          <w:b/>
        </w:rPr>
        <w:t>fröken²</w:t>
      </w:r>
      <w:r>
        <w:rPr>
          <w:b w:val="0"/>
        </w:rPr>
        <w:t xml:space="preserve"> skulle vara så käck, att </w:t>
      </w:r>
      <w:r>
        <w:rPr>
          <w:b/>
        </w:rPr>
        <w:t>hon²</w:t>
      </w:r>
      <w:r>
        <w:rPr>
          <w:b w:val="0"/>
        </w:rPr>
        <w:t xml:space="preserve"> kommer med sitt yrkande, sedan </w:t>
      </w:r>
      <w:r>
        <w:rPr>
          <w:b/>
        </w:rPr>
        <w:t>frökens²</w:t>
      </w:r>
      <w:r>
        <w:rPr>
          <w:b w:val="0"/>
        </w:rPr>
        <w:t xml:space="preserve"> meningsfrände i andra kammaren blott fått 19 röster till svar, när </w:t>
      </w:r>
      <w:r>
        <w:rPr>
          <w:b/>
        </w:rPr>
        <w:t>hon²</w:t>
      </w:r>
      <w:r>
        <w:rPr>
          <w:b w:val="0"/>
        </w:rPr>
        <w:t xml:space="preserve"> gjorde sitt yrkande om återremiss, det väntade jag inte, och jag tycker att </w:t>
      </w:r>
      <w:r>
        <w:rPr>
          <w:b/>
        </w:rPr>
        <w:t>fröken²</w:t>
      </w:r>
      <w:r>
        <w:rPr>
          <w:b w:val="0"/>
        </w:rPr>
        <w:t xml:space="preserve"> Hesselgren själv därav kunnat dra den slutsatsen att yrkandet är litet hopplöst. Men det generar inte </w:t>
      </w:r>
      <w:r>
        <w:rPr>
          <w:b/>
        </w:rPr>
        <w:t>fröken²</w:t>
      </w:r>
      <w:r>
        <w:rPr>
          <w:b w:val="0"/>
        </w:rPr>
        <w:t xml:space="preserve">; </w:t>
      </w:r>
      <w:r>
        <w:rPr>
          <w:b/>
        </w:rPr>
        <w:t>fröken²</w:t>
      </w:r>
      <w:r>
        <w:rPr>
          <w:b w:val="0"/>
        </w:rPr>
        <w:t xml:space="preserve"> skall ändå fortsätta — och </w:t>
      </w:r>
      <w:r>
        <w:rPr>
          <w:b/>
        </w:rPr>
        <w:t>hon²</w:t>
      </w:r>
      <w:r>
        <w:rPr>
          <w:b w:val="0"/>
        </w:rPr>
        <w:t xml:space="preserve"> får naturligtvis instämmande av herr Lindhagen! Huruvida det blir fler än två, som följa herrskapet, vet jag inte.</w:t>
        <w:br/>
        <w:br/>
      </w:r>
      <w:r>
        <w:rPr>
          <w:b/>
        </w:rPr>
        <w:t>Fröken²</w:t>
      </w:r>
      <w:r>
        <w:rPr>
          <w:b w:val="0"/>
        </w:rPr>
        <w:t xml:space="preserve"> har inte, så vitt jag kunnat finna, hur mycket </w:t>
      </w:r>
      <w:r>
        <w:rPr>
          <w:b/>
        </w:rPr>
        <w:t>fröken²</w:t>
      </w:r>
      <w:r>
        <w:rPr>
          <w:b w:val="0"/>
        </w:rPr>
        <w:t xml:space="preserve"> än försökt tränga in 1 saken, riktigt förstått vad utskottet menat och att den tankegång vi här fölit</w:t>
        <w:br/>
        <w:br/>
        <w:t xml:space="preserve">är precis densamma som riksdagen hade, när frågan om lagen om barn i äktenskapet var före. I denna lämnas föräldrarna rätt att tillsammans avgöra om vårdnaden, och om de komma i delo med varandra, får den saken inte dragas inför domstol. Meningen är att föräldrarna i sådant fall inte få släppa in någon tred- Je, utan de få avgöra saken sinsemellan, bäst de gitta. Det finns ingen möjlighet enligt lagen om barn i äktenskap att lösa en sådan tvist på annat sätt. Samma resonemang har lagutskottet fört även nu. Just för att det är stridande mot äktenskapets idé, kunna vi inte släppa in en domstol att avgöra delade meningar mellan äkta makar, utan sådana saker få de göra upp själva. Men så kan det inte bli, när det kommer att gälla ekonomiska angelägenheter. Då måste ett beslut fattas, och det måste vara en, som skall fatta detta beslut. Nu vill </w:t>
      </w:r>
      <w:r>
        <w:rPr>
          <w:b/>
        </w:rPr>
        <w:t>fröken²</w:t>
      </w:r>
      <w:r>
        <w:rPr>
          <w:b w:val="0"/>
        </w:rPr>
        <w:t xml:space="preserve"> visserligen inte draga dessa saker inför domstol utan inför överförmyndaren, men det blir precis detsamma, det blir en tertius i alla fall, och det är just det, som inte är meningen. . Då lagutskottet här konsekvent fullföljt den mening, som riksdagen uttryckte 1920 i lagen om barn i äktenskapet, ber jag att få yrka bifall till paragrafen i lagutskottets avfattning.</w:t>
      </w:r>
    </w:p>
    <w:p>
      <w:pPr>
        <w:pStyle w:val="Heading2"/>
      </w:pPr>
      <w:r>
        <w:t>3. Carl Lindhagen (–, man)</w:t>
      </w:r>
    </w:p>
    <w:p>
      <w:r>
        <w:rPr>
          <w:b w:val="0"/>
        </w:rPr>
        <w:t xml:space="preserve">Den sista talaren betonade, att det stred mot äktenskapets idé att </w:t>
      </w:r>
      <w:r>
        <w:rPr>
          <w:b/>
        </w:rPr>
        <w:t>hustrun²</w:t>
      </w:r>
      <w:r>
        <w:rPr>
          <w:b w:val="0"/>
        </w:rPr>
        <w:t xml:space="preserve"> var förmyndare för sina barn jämte mannen och att man då skulle bliva nödgad att släppa in någon tredje för att avgöra en tvist.</w:t>
        <w:br/>
        <w:br/>
        <w:t>Ja, vet herr Hederstierna, har inte äktenskapets idé kränkts mera än på det sättet, så kan äktenskapet vara att gratulera!</w:t>
        <w:br/>
        <w:br/>
        <w:t xml:space="preserve">Nu har man ju i den nya äktenskapslagstiftningen gått ifrån 1734 års gamla maskulina lagstiftning, som var förklarlig för den tiden. Särskilt har utbrutits vårdnaden om barnen, som är ett stort och omfattande ämne och förut ingick under förmynderskapet och därför, även den var faderns privata angelägenhet. Nu är det bestämt, att modern också skall få vårda det barn, som är </w:t>
      </w:r>
      <w:r>
        <w:rPr>
          <w:b/>
        </w:rPr>
        <w:t>hennes²</w:t>
      </w:r>
      <w:r>
        <w:rPr>
          <w:b w:val="0"/>
        </w:rPr>
        <w:t xml:space="preserve"> minst lika mycket som mannens, ja, på sätt och vis mera. Det är modern, </w:t>
      </w:r>
      <w:r>
        <w:rPr>
          <w:b/>
        </w:rPr>
        <w:t>kvinnan¹</w:t>
      </w:r>
      <w:r>
        <w:rPr>
          <w:b w:val="0"/>
        </w:rPr>
        <w:t xml:space="preserve"> , som föder till och med mannen, och </w:t>
      </w:r>
      <w:r>
        <w:rPr>
          <w:b/>
        </w:rPr>
        <w:t>hon²</w:t>
      </w:r>
      <w:r>
        <w:rPr>
          <w:b w:val="0"/>
        </w:rPr>
        <w:t xml:space="preserve"> har således nästan en viss företrädesrätt att åberopa. I vårdnåden om barnen ingår också att träffa arbetsavtal, det är ju en ganska stor ekonomisk fråga och där får inte mannen ensam avgöra, utan </w:t>
      </w:r>
      <w:r>
        <w:rPr>
          <w:b/>
        </w:rPr>
        <w:t>hustrun²</w:t>
      </w:r>
      <w:r>
        <w:rPr>
          <w:b w:val="0"/>
        </w:rPr>
        <w:t xml:space="preserve"> måste vara med. Då kan man fråga sig: vad är det för en märkvärdig sak, när det gäller att förfoga inte över barnets person, men över några ägodelar som barnet har. Blir äktenskapet då särskilt heligt och måste manifesteras genom mannens ensamma förfoganderätt? Där ha vi igen, herr talman, pengarnas ofantliga värde 1 vår politik till skillnad från personlighetens värde.</w:t>
        <w:br/>
        <w:br/>
        <w:t>Man säger, att det inträffar mycket sällan att en omyndig med båda föräldrarna i livet har egendom, och detta vore ock en huvudorsak, varför det fortfarande skall lagstiftas på sätt, som man gjorde 1734 i detta avseende. Men om det inträffar ofta, borde man då slå in på en annan princip? Detta hänger inte ihop. Även om det angivna inträffar sällan, så är det i alla fall, framhåller lagberedningen vidare, förenat med stora praktiska olägenheter att låta föräldrarna vara båda förmyndare, och lagutskottet säger, att olägenheterna göra sig starkt gällande. Jag förstår icke alls detta tvåtungade tal. När det någon gång uppstår konflikt och föräldrarna icke kunna enas, få de försöka, när det gäller vårdnaden av barnen, arbetsavtal och dylikt, att klara upp det bäst de kunna, men även detta kan ju vara brådskande. Här är det alldeles på samma sätt. Just för att det här gäller pengar och således enligt gängse uppfattning en viktigare angelägenhet än den personliga omvårdnaden, har förslaget ju upptagit en bestämmelse, som löser alla svårigheter även i detta fall. Det stadgas nämligen att om konflikt uppstår, då flera äro förmyndare, skall denna hänskjutas till överförmyndaren, en herre, som enligt förslaget</w:t>
        <w:br/>
        <w:br/>
        <w:t>skall sitta för sig själv i sitt privata rum eller kontor. Där kommer man i enrum med honom och får sin sak avgjord, utan att allmänheten och mänskligheten alls tittar på den kränkning, som sålunda där sker av äktenskapets idé.</w:t>
        <w:br/>
        <w:br/>
        <w:t xml:space="preserve">Vi ha ett annat fall, som påminner om detta, nämligen rätten att inteckna och sälja fastighet, som tillhör bägge makarna och där bägge ha giftorätt. Då gäller det ju icke barnen, men det gäller även här pengar eller materiella värden. Vi hade härom dagen ett fall i Stockholms rådhusrätt, där </w:t>
      </w:r>
      <w:r>
        <w:rPr>
          <w:b/>
        </w:rPr>
        <w:t>hustrun²</w:t>
      </w:r>
      <w:r>
        <w:rPr>
          <w:b w:val="0"/>
        </w:rPr>
        <w:t xml:space="preserve"> vägrade en inteckning — det var verkligen första gången det förekom — och det blev ingen inteckning. Just därför, att det är fråga om pengar, finns det dock även här en paragraf, som säger, att den som vill inteckna och icke får det, kan begära hos rätten att få tvisten avgjord.</w:t>
        <w:br/>
        <w:br/>
        <w:t xml:space="preserve">Det skulle nu med </w:t>
      </w:r>
      <w:r>
        <w:rPr>
          <w:b/>
        </w:rPr>
        <w:t>fröken²</w:t>
      </w:r>
      <w:r>
        <w:rPr>
          <w:b w:val="0"/>
        </w:rPr>
        <w:t xml:space="preserve"> Hesselgrens förslag bli likformighet i lagstiftningen beträffande materiella ägodelar, så att bägge makarna måste vara ense, och om någon olöslig konflikt i något sällsynt undantagsfall skulle uppstå, få de i ena fallet gå till överförmyndaren och i andra fallet, som lagen redan föreskriver, till rätten. Och för resten, om detta skulle i det nu förevarande fallet vara något så kränkande för äktenskapets helgd, varför skall för undvikande av sådan kräkning just mannen vara förmyndare? Varför inte lika gärna </w:t>
      </w:r>
      <w:r>
        <w:rPr>
          <w:b/>
        </w:rPr>
        <w:t>hustrun²</w:t>
      </w:r>
      <w:r>
        <w:rPr>
          <w:b w:val="0"/>
        </w:rPr>
        <w:t>? Det måste man fråga sig i dessa tider.</w:t>
        <w:br/>
        <w:br/>
        <w:t xml:space="preserve">Nu sade herr Hederstierna, att </w:t>
      </w:r>
      <w:r>
        <w:rPr>
          <w:b/>
        </w:rPr>
        <w:t>fröken²</w:t>
      </w:r>
      <w:r>
        <w:rPr>
          <w:b w:val="0"/>
        </w:rPr>
        <w:t xml:space="preserve"> Hesselgren var särskilt käck därför att </w:t>
      </w:r>
      <w:r>
        <w:rPr>
          <w:b/>
        </w:rPr>
        <w:t>hon²</w:t>
      </w:r>
      <w:r>
        <w:rPr>
          <w:b w:val="0"/>
        </w:rPr>
        <w:t xml:space="preserve"> vågade uppträda, sedan </w:t>
      </w:r>
      <w:r>
        <w:rPr>
          <w:b/>
        </w:rPr>
        <w:t>fröken²</w:t>
      </w:r>
      <w:r>
        <w:rPr>
          <w:b w:val="0"/>
        </w:rPr>
        <w:t xml:space="preserve"> Tamms förslag fallit i andra kammaren med 19 röster. Ja, </w:t>
      </w:r>
      <w:r>
        <w:rPr>
          <w:b/>
        </w:rPr>
        <w:t>fröken²</w:t>
      </w:r>
      <w:r>
        <w:rPr>
          <w:b w:val="0"/>
        </w:rPr>
        <w:t xml:space="preserve"> Tamm kom verkligen in här och sade: »Mitt förslag föll alldeles platt till marken, det var ingen annan, som yttrade sig för det, och jag fick bara 19 röster.&gt; Jag svarade: »Så mycket som 19 röster, som tänkte själva utan att saken var förberedd och utan att någon auktoritet att gå efter förelåg! Jag gratulerar! Och för övrigt, </w:t>
      </w:r>
      <w:r>
        <w:rPr>
          <w:b/>
        </w:rPr>
        <w:t>fröken²</w:t>
      </w:r>
      <w:r>
        <w:rPr>
          <w:b w:val="0"/>
        </w:rPr>
        <w:t xml:space="preserve"> Tamm, ni segrade ju i motiveringen, och den segern är den enda varaktiga. Den betyder, att någon gång i tiden blir det i alla fall på det sättet. Men däremot var kammarens beslut bara en pyrrhusseger.» |</w:t>
        <w:br/>
        <w:br/>
        <w:t xml:space="preserve">Saken förhåller sig helt enkelt på det sättet, herr talman, som nog i denna sak instämmer med mig, ty vi började bägge vår politiska bana i föreningen för gift </w:t>
      </w:r>
      <w:r>
        <w:rPr>
          <w:b/>
        </w:rPr>
        <w:t>kvinnas¹</w:t>
      </w:r>
      <w:r>
        <w:rPr>
          <w:b w:val="0"/>
        </w:rPr>
        <w:t xml:space="preserve"> ägandefätt, att hade lagberedningen bestått av bara damer, så hade detta förslag icke sett dagens ljus, utan i stället hade något annat föreslagits av lagberedningen. Denna institution är en auktoritet och får därför merendels sitt igenom. Det fordras oerhörda ansträngningar för att den icke skall dominera, och prestigefrågan spelar en hart när oemotståndlig roll icke minst i det nu föreliggande ärendet. En lagberedning av damer hade naturligtvis föreslagit, att både mannen och </w:t>
      </w:r>
      <w:r>
        <w:rPr>
          <w:b/>
        </w:rPr>
        <w:t>hustrun²</w:t>
      </w:r>
      <w:r>
        <w:rPr>
          <w:b w:val="0"/>
        </w:rPr>
        <w:t xml:space="preserve"> skulle vara förmyndare gemensamt, och hade den ställt sig lika ensidig som den nuvarande herrlagberedningen så hade den föreslagit, att bara </w:t>
      </w:r>
      <w:r>
        <w:rPr>
          <w:b/>
        </w:rPr>
        <w:t>hustrun²</w:t>
      </w:r>
      <w:r>
        <w:rPr>
          <w:b w:val="0"/>
        </w:rPr>
        <w:t xml:space="preserve"> skulle vara förmyndare!</w:t>
        <w:br/>
        <w:br/>
        <w:t xml:space="preserve">Det här förslaget är bara ett uttryck för den maskulina renässansen, så det är inte alls något att fästa sig vid. Vi äro ju vana därvid, och herrarna tycka fortfarande likaväl som i hedenhös, att mannen är någonting förfärligt duktigt och han skall bli förmyndare, medan </w:t>
      </w:r>
      <w:r>
        <w:rPr>
          <w:b/>
        </w:rPr>
        <w:t>hustrun²</w:t>
      </w:r>
      <w:r>
        <w:rPr>
          <w:b w:val="0"/>
        </w:rPr>
        <w:t xml:space="preserve"> mera är en bifigur i »äktenskapets idé». Så är det emellertid inte i sak, och därför yrkar Jag bifall till </w:t>
      </w:r>
      <w:r>
        <w:rPr>
          <w:b/>
        </w:rPr>
        <w:t>fröken²</w:t>
      </w:r>
      <w:r>
        <w:rPr>
          <w:b w:val="0"/>
        </w:rPr>
        <w:t xml:space="preserve"> Hesselgrens förslag.</w:t>
      </w:r>
    </w:p>
    <w:p>
      <w:pPr>
        <w:pStyle w:val="Heading2"/>
      </w:pPr>
      <w:r>
        <w:t>4. Karl Gustaf Westman (–, man)</w:t>
      </w:r>
    </w:p>
    <w:p>
      <w:r>
        <w:rPr>
          <w:b w:val="0"/>
        </w:rPr>
        <w:t>Herr talman! Jag skall be att med några ord få ange de synpunkter, som varit bestämmande för utskottet, då det tagit ställning till denna fråga. Det förhåller sig så, att utskottet här fattat ståndpunkt i överenstämmelse med en princip, som lagstiftaren följde 1920 vid antagandet av den nya äktenskapslagen, nämligen att man så mycket som möjligt skall undvika att inblanda främmande i familjens inre angelägenheter. Man sökte i det syftet inskränka antalet av sådana angelägenheter, som måste avgöras av föräldrarna</w:t>
        <w:br/>
        <w:br/>
        <w:t xml:space="preserve">gemensamt, ty om föräldrarna vid avgörandet av en dylik fråga skulle bli oense, så bleve det ju i många fall nödvändigt att låta en främmande komma in som skiljoman dem emellan. Den synpunkten framträdde bland annat vid konstruktionen av det nya giftorättsinstitutet. Förut hade det ju varit så, att gemensam egendom funnits för båda makarna. Nu upphävdes den gemensamma egendomen, och därmed minskades givetvis antalet fall, då gemensamma beslut behövde fattas av makarna, även om man, som </w:t>
      </w:r>
      <w:r>
        <w:rPr>
          <w:b/>
        </w:rPr>
        <w:t>fröken²</w:t>
      </w:r>
      <w:r>
        <w:rPr>
          <w:b w:val="0"/>
        </w:rPr>
        <w:t xml:space="preserve"> Hesselgren alldeles riktigt påpekade, icke ville gå så långt, att man gjorde den ena maken alldeles oberoende av den andras samtycke vid förfogandet över sitt giftogods.</w:t>
        <w:br/>
        <w:br/>
        <w:t xml:space="preserve">Av samma skäl som 1920 har man nu ställt sig på den ståndpunkten, att förmynderskap skall utövas av en av makarna, det vill säga av fadern. Beträffande vårdnaden av barnen har däremot, som </w:t>
      </w:r>
      <w:r>
        <w:rPr>
          <w:b/>
        </w:rPr>
        <w:t>fröken²</w:t>
      </w:r>
      <w:r>
        <w:rPr>
          <w:b w:val="0"/>
        </w:rPr>
        <w:t xml:space="preserve"> Hesselgren påpekat i sitt yttrande, bestämts, att den skulle vara gemensam för bägge föräldrarna. Samtidigt blev det emellertid nödvändigt att bestämma, att om mellan föräldrarna en elakartad schism uppstår till följd av den enes grova missbruk o. s. v., får den andre vända sig till domstol. Vill man införa gemensam rådighet, så blir jet nog oundvikligt att inblanda främmande personer i makarnas angelägeneter.</w:t>
        <w:br/>
        <w:br/>
        <w:t>Som ett komplement till bestämmelserna om vårdnaden fastslog man vidare år 1920, att ett avgörande skulle kunna träffas av den ena av föräldrarna, ifall den andra var förhindrad att deltaga i beslutet, till exempel på grund av frånvaro, sjukdom eller av annat skäl, och beslutet icke utan olägenhet kunde uppskjutas. Man införde alltså en betydande lättnad, i det man medgav, att under ganska vidsträckta förutsättningar beslut skulle kunna fattas av endast en av föräldrarna, även i fråga om vårdnaden.</w:t>
        <w:br/>
        <w:br/>
        <w:t>Men en liknande lättnad kan givetvis icke införas i fråga om förmynderskap. Här gäller ju att träffa ekonomiska avgöranden, såsom att ingå avtal med tredje man. Men tredje man kan ju inte veta, om en av föräldrarna kan vara förhindrad av bortresa och dylikt. Han kan ej nöja sig med att träffa avtal med en av dem, utan han måste ha samtycke av båda förmyndarna.</w:t>
        <w:br/>
        <w:br/>
        <w:t>Av vad jag sagt framgår sålunda, att utskottet haft två skäl för sin ståndpunkt. Det ena skälet är, att man velat undvika främmande inblandning i familjeangelägenheter så mycket som möjligt, och det andra, att man varit rädd för att få alltför tunga former, ifall båda föräldrarna skulle bli förmyndare.</w:t>
        <w:br/>
        <w:br/>
        <w:t xml:space="preserve">Det kan vara alldeles sant, som </w:t>
      </w:r>
      <w:r>
        <w:rPr>
          <w:b/>
        </w:rPr>
        <w:t>fröken²</w:t>
      </w:r>
      <w:r>
        <w:rPr>
          <w:b w:val="0"/>
        </w:rPr>
        <w:t xml:space="preserve"> Hesseigoren sade, att ser man saken från större principiella synpunkter, så kan man komma till ett annat resultat, men jag vågar påstå, att den ståndpunkt, som utskottet har intagit, för närvarande är fullt berättigad. Det förefaller mig vara uteslutet, att kammaren, då någon närmare utredning icke finns angående de former, som skulle vara nödvändiga att skapa för utbildande av ett förmynderskap, utövat av båda föräldrarna, skulle bifalla </w:t>
      </w:r>
      <w:r>
        <w:rPr>
          <w:b/>
        </w:rPr>
        <w:t>fröken²</w:t>
      </w:r>
      <w:r>
        <w:rPr>
          <w:b w:val="0"/>
        </w:rPr>
        <w:t xml:space="preserve"> Hesselgrens yrkande.</w:t>
        <w:br/>
        <w:br/>
        <w:t>Jag ber för min del att få yrka bifall till utskottets förslag.</w:t>
      </w:r>
    </w:p>
    <w:p>
      <w:pPr>
        <w:pStyle w:val="Heading2"/>
      </w:pPr>
      <w:r>
        <w:t>5. Carl Lindhagen (–, man)</w:t>
      </w:r>
    </w:p>
    <w:p>
      <w:r>
        <w:rPr>
          <w:b w:val="0"/>
        </w:rPr>
        <w:t xml:space="preserve">Jag glömde att erinra om en sak i mitt förra anförande. Nu skall ju vårdnaden om barnen vara gemensam för bägge två och således även arbetsavtal och andra viktiga förfoganden över barnen och för barnens räkning. Men till en hel del sådan vårdnad behövs pengar. När det gäller sådana myndlingar, vilkas både far och </w:t>
      </w:r>
      <w:r>
        <w:rPr>
          <w:b/>
        </w:rPr>
        <w:t>mor²</w:t>
      </w:r>
      <w:r>
        <w:rPr>
          <w:b w:val="0"/>
        </w:rPr>
        <w:t xml:space="preserve"> leva, men som ändå ha pengar, kunna dessa pengar behöva användas för vårdnadens utövning. Om föräldrarna då icke kunra enas om vårdnaden, så finns ingen möjlighet att lösa detta vid tillfället, och då kan det inte bli något av. Eller också kan fadern säga: Jag släpper inte till pengar. På det sättet får han ett övertag även i omsorgen om vårdnaden, ty </w:t>
      </w:r>
      <w:r>
        <w:rPr>
          <w:b/>
        </w:rPr>
        <w:t>hustrun²</w:t>
      </w:r>
      <w:r>
        <w:rPr>
          <w:b w:val="0"/>
        </w:rPr>
        <w:t xml:space="preserve"> har ingenting att säga till om barnets pengar. Detta strider ju emot vartannat.</w:t>
        <w:br/>
        <w:br/>
        <w:t>Vad nu angår bekymret, att någon tredje mellankommande part skulle inatt man icke vill slå in på en tidsenlig riktning, utan man vidhåller den gamla maskulina ståndpunkten från år 1734. Jag vill i alla fall fästa uppmärksamheten på huru många och huru våldsamma tvister, som äga rum inför domstol, om vem som skall ha barnen vid skilsmässa och vårdnaden om dem vid olika stadier av skilsmässa. Vittnen höras och de intimaste förhållanden blottas, så att det är ett väldigt slagsmål om barnen inför både underrätt, överrätt och högsta domstolen. Men här går det inte an att låta någon myndighet erhålla rollen av skiljedomare. — Varför? Jo, därför att lagberedningen har sagt det!</w:t>
      </w:r>
    </w:p>
    <w:p>
      <w:pPr>
        <w:pStyle w:val="Heading2"/>
      </w:pPr>
      <w:r>
        <w:t>6. Mauritz Hellberg (Liberala riksdagspartiet, man)</w:t>
      </w:r>
    </w:p>
    <w:p>
      <w:r>
        <w:rPr>
          <w:b w:val="0"/>
        </w:rPr>
        <w:t>Ja, herr talman, jag skall inte med mer än en enda minut uppta kammarens tid, vilket jag hoppas talmannen senterar. Jag skall endast med ett par ord tillkännage min enkla lekmannauppfattning i frågan, och den är följande.</w:t>
        <w:br/>
        <w:br/>
        <w:t>När överhuvud taget samförmynderskap, om jag så får uttrycka mig, är tilllåtet, frågar jag mig: När kan sådant vara mer motiverat än när det gäller ett sådant mellan fadern och modern till barnet? Det är min enkla synpunkt på saken. Det kan naturligtvis tänkas, att i ena fallet fadern är mera skickad och i det andra fallet att modern är mera skickad att omhänderha förmynderskap. Då synes det mig, att den bästa garantien för ett gott förmynderskap vinnes bäst, om man låter dem tillsammans utöva det. Skulle meningsskiljaktighet dem emellan uppstå, finnes ju den enkla vägen att gå till överförmyndaren, som får slita tvisten. Att detta skulle medföra sådana stora formella betänkligheter, som herr Westman antydde, är jag alldeles oförmögen att förstå. Jag tror, att i de flesta fall saken i praktiken är alldeles ofantligt enkel.</w:t>
        <w:br/>
        <w:br/>
        <w:t xml:space="preserve">Jag ber, herr talman, att få yrka bifall till vad </w:t>
      </w:r>
      <w:r>
        <w:rPr>
          <w:b/>
        </w:rPr>
        <w:t>fröken²</w:t>
      </w:r>
      <w:r>
        <w:rPr>
          <w:b w:val="0"/>
        </w:rPr>
        <w:t xml:space="preserve"> Hesselgren hemställt.</w:t>
      </w:r>
    </w:p>
    <w:p>
      <w:pPr>
        <w:pStyle w:val="Heading2"/>
      </w:pPr>
      <w:r>
        <w:t>7. Carl Lindhagen (–, man)</w:t>
      </w:r>
    </w:p>
    <w:p>
      <w:r>
        <w:rPr>
          <w:b w:val="0"/>
        </w:rPr>
        <w:t xml:space="preserve">Jag vill bara tillkännage, att den formulering, som </w:t>
      </w:r>
      <w:r>
        <w:rPr>
          <w:b/>
        </w:rPr>
        <w:t>fröken²</w:t>
      </w:r>
      <w:r>
        <w:rPr>
          <w:b w:val="0"/>
        </w:rPr>
        <w:t xml:space="preserve"> Hesselgren föreslog, är formulerad av lagberedningens ledamot, revisionssekreterare Arthur Lindhagen, som även varit föredragande i ämnet inför lagrådet och lagutskottet, så herrarna kunna nog lita på den.</w:t>
        <w:br/>
        <w:br/>
        <w:t>I varje tingslag, så ock i stad, där rådstuvurätt finnes, skall överförmynrdare av rätten förordnas. Kan tillsynen icke utövas av en överförmyndare ensam, må flera överförmyndare förordnas. Erfordras flera överförmyndare, äge rätten indela tingslaget eller staden</w:t>
        <w:br/>
        <w:br/>
        <w:t>I stad, där rådstuvurätt finnes, väljes en överförmyndare. I kommun, som lyder under häradsrätt, väljes likaledes en. överförmyndare, såframt icke, på sätt i 3 $ stadgas, flera kommuner blivit sammanförda till ett distrikt för val av överförmyndare.</w:t>
        <w:br/>
        <w:br/>
        <w:t>i förmynderskapsdistrikt, ett för varje överförmyndare, eller ock bestämma annan lämplig grund för förmynderskapens fördelande mellan överförmyndarna.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472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