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476</w:t>
      </w:r>
    </w:p>
    <w:p>
      <w:r>
        <w:rPr>
          <w:b/>
        </w:rPr>
        <w:t xml:space="preserve">Datum: </w:t>
      </w:r>
      <w:r>
        <w:t>1924-05-14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Endast några få ord! När herr Wigforss talade om den tomma princip, som man ville uppställa mot sakskälen, var det, såvitt Jag kan finna, en fullkomligt riktig karakteristik av förhållandet här. Allmänna talesätt, hur riktiga de än må vara, få sin betydelse först i och med tilllämpningen på något reellt. Allmänna talesätt om utredningar och föregripanden må vara hur riktiga som helst — har man ingenting som man kan passa in dem på, äro de verkligen tomma principförklaringar.</w:t>
        <w:br/>
        <w:br/>
        <w:t>Vad nu beträffar de principer, som diskuterats här, har herr Wigforss liksom även herrar Kvarnzelius och Pers varit inne på dessa saker, och jag be-</w:t>
        <w:br/>
        <w:br/>
        <w:t>enskilda lärohöver därför inte uppehålla mig vidare därvid. Jag skall emellertid be att anstalter m.m. få helt och fullt instämma i herr Lindhagens principförklaring. Hans utta-</w:t>
        <w:br/>
        <w:br/>
        <w:t xml:space="preserve">lande om mig och mina meningsfränder, att vi äro ute i en ren politisk aktion, tillhör de smädelser, som väl äro oundvikliga och som man därför inte precis bör taga alltför allvarligt. Men det var herr Lindhagens principförklaring, som jag ber att få taga fasta på, därför att den uttryckte precis, vad hela mitt resonemang både i den förra debatten och i denna debatt utgår ifrån. Av den principförklaringen framgår också, varför herr Swartz och </w:t>
      </w:r>
      <w:r>
        <w:rPr>
          <w:b/>
        </w:rPr>
        <w:t>fröken²</w:t>
      </w:r>
      <w:r>
        <w:rPr>
          <w:b w:val="0"/>
        </w:rPr>
        <w:t xml:space="preserve"> Hesselgren taga fel, då de anse, att det skulle vara lämpligt för min uppfostran, om kammaren även nu ginge emot den ståndpunkt jag förfäktar, varigenom jag skulle sättas i tillfälle att bliva betydligt förnuftigare nästa gång denna fråga upptages till behandling. Min ståndpunkt är nämligen den, att jag vill ha ett förnuftigt sammanhang i behandlingen av de olika skolformerna, statens, kommunernas och de privata, och det är detta herr Lindhagen deklarerar, då han talar om att omsorgen om vad han kallar statens </w:t>
      </w:r>
      <w:r>
        <w:rPr>
          <w:b/>
        </w:rPr>
        <w:t>flickskolor²</w:t>
      </w:r>
      <w:r>
        <w:rPr>
          <w:b w:val="0"/>
        </w:rPr>
        <w:t xml:space="preserve"> skall gå hand i hand med omsorgen om statens gosskolor. Det är just detta, som jag vill, och det är just den vägen vi äro inne på, då vi nu i sammanhangets tecken lösa frågan om de för stora klasserna i de privata skolorna och statens skolor. Jag kan ge herr Lindhagen rätt i att ur vissa synpunkter kunna dessa privatskolor kallas statens </w:t>
      </w:r>
      <w:r>
        <w:rPr>
          <w:b/>
        </w:rPr>
        <w:t>flickskolor²</w:t>
      </w:r>
      <w:r>
        <w:rPr>
          <w:b w:val="0"/>
        </w:rPr>
        <w:t>, som han ville kalla dem. Men de förberedande klasserna, som äro det viktigaste i detta sammanhang, kunna icke kallas för statens skolor, ty därvidlag har staten andra organ.</w:t>
        <w:br/>
        <w:br/>
        <w:t xml:space="preserve">Jag kan slutligen icke undgå att uttala min förvåning över att det från ledande håll inom </w:t>
      </w:r>
      <w:r>
        <w:rPr>
          <w:b/>
        </w:rPr>
        <w:t>flickläroverken²</w:t>
      </w:r>
      <w:r>
        <w:rPr>
          <w:b w:val="0"/>
        </w:rPr>
        <w:t xml:space="preserve"> kommit ett uttalande av innebörd, att det kan göra </w:t>
      </w:r>
      <w:r>
        <w:rPr>
          <w:b/>
        </w:rPr>
        <w:t>flickläroverken²</w:t>
      </w:r>
      <w:r>
        <w:rPr>
          <w:b w:val="0"/>
        </w:rPr>
        <w:t xml:space="preserve"> detsamma, om riksdagen tar sammanjämkningen eller ställer sig på andra kammarens ståndpunkt. Jag får då säga, att det är en alldeles underbar omtanke om sin personal man lägger i dagen på detta håll! Jag trodde annars, när man rev upp en sådan storm mot statsutskottets första betänkande i denna fråga, att det var någon mening med talet om att man skadade </w:t>
      </w:r>
      <w:r>
        <w:rPr>
          <w:b/>
        </w:rPr>
        <w:t>flickläroverken²</w:t>
      </w:r>
      <w:r>
        <w:rPr>
          <w:b w:val="0"/>
        </w:rPr>
        <w:t xml:space="preserve"> genom att förfara på sådant sätt gentemot deras lärare.</w:t>
      </w:r>
    </w:p>
    <w:p>
      <w:pPr>
        <w:pStyle w:val="Heading2"/>
      </w:pPr>
      <w:r>
        <w:t>2. Carl Lindhagen (–, man)</w:t>
      </w:r>
    </w:p>
    <w:p>
      <w:r>
        <w:rPr>
          <w:b w:val="0"/>
        </w:rPr>
        <w:t>Blott ett par ord med anledning av herr Wigforss yttrande.</w:t>
        <w:br/>
        <w:br/>
        <w:t xml:space="preserve">Herr Wigforss började med att säga, att jag utmålat de förskräckliga farorna av att antaga sammanjämkningsförslaget. Det har jag inte alls gjort: jag sade tvärtom, att jag icke heller vet, vad som kan bliva följden av sammanjämkningsförslagets antagande, och därför kan jag icke omfatta detsamma med någon entusiasm, allraminst förstås i de punkter, som enligt min mening åsidosatts i förslaget. Jag framhöll alldeles särskilt — vilket fortfarande i det väsentliga förbigåtts i diskussionen men i någon mån nu tagits upp av herr Öscar Olsson — att vad som för mig är det betänkligaste i hela förslaget är, att man vill lösa frågan om statens </w:t>
      </w:r>
      <w:r>
        <w:rPr>
          <w:b/>
        </w:rPr>
        <w:t>flickskolor²</w:t>
      </w:r>
      <w:r>
        <w:rPr>
          <w:b w:val="0"/>
        </w:rPr>
        <w:t xml:space="preserve"> i viss mån på förhand och utan samband med statens gosskolor. </w:t>
      </w:r>
      <w:r>
        <w:rPr>
          <w:b/>
        </w:rPr>
        <w:t>Flickornas²</w:t>
      </w:r>
      <w:r>
        <w:rPr>
          <w:b w:val="0"/>
        </w:rPr>
        <w:t xml:space="preserve"> undervisning är nu av staten utlämnad på entreprenad, och man kan icke förbättra förhållandena annat än genom att avskaffa entreprenadsystemet, ty först då bli statens nuvarande </w:t>
      </w:r>
      <w:r>
        <w:rPr>
          <w:b/>
        </w:rPr>
        <w:t>flickskolor²</w:t>
      </w:r>
      <w:r>
        <w:rPr>
          <w:b w:val="0"/>
        </w:rPr>
        <w:t xml:space="preserve"> eller, som herrarna kalla dem, privatskolorna verkliga folkskolor — förr kunna de inte bli det.</w:t>
        <w:br/>
        <w:br/>
        <w:t xml:space="preserve">Men herr Wigforss höll fortfarande på att huvudprincipen gällde här frågan om </w:t>
      </w:r>
      <w:r>
        <w:rPr>
          <w:b/>
        </w:rPr>
        <w:t>lärarinnornas³</w:t>
      </w:r>
      <w:r>
        <w:rPr>
          <w:b w:val="0"/>
        </w:rPr>
        <w:t xml:space="preserve"> utkomst och att vissa myndigheter icke blivit hörda. Beträffande det sista är jag fullkomligt ense med herr Wigforss. Det kan just kvitta lika; här höras sällan de, som böra höras, utan oftare deras motståndare. Och likaledes får jag instämma med herr Wigforss däri, att de mindre betydande pedagogiska principfrågorna, om rättigheten att ha överkvalificerade lärarkrafter vid småskolorna o. s. v., gälla icke heller några stora principer, som böra lägga hin-</w:t>
        <w:br/>
        <w:br/>
        <w:t>der i vägen för sammanjämkningsförslagets antagande. Men den stora princi- — Ang.</w:t>
        <w:br/>
        <w:br/>
        <w:t>pen gäller, att man icke, samtidigt som man bibehåller statens entreprenadsyju. lägg äl</w:t>
        <w:br/>
        <w:br/>
        <w:t xml:space="preserve">stem beträffande </w:t>
      </w:r>
      <w:r>
        <w:rPr>
          <w:b/>
        </w:rPr>
        <w:t>flickskolorna²</w:t>
      </w:r>
      <w:r>
        <w:rPr>
          <w:b w:val="0"/>
        </w:rPr>
        <w:t>, skall försöka infoga vissa bestämmelser, som enskilda läro-</w:t>
        <w:br/>
        <w:br/>
        <w:t>överhuvud taget äro omöjliga att förena med detta system, utan att dessa frågor anstalter m.m.</w:t>
        <w:br/>
        <w:br/>
        <w:t>maste lösas i sammanhang med det hela. (Forts.) Herr Olsson sade nu, att man inte skall röra sig med tomma principer. Men</w:t>
        <w:br/>
        <w:br/>
        <w:t xml:space="preserve">Jag håller före, att </w:t>
      </w:r>
      <w:r>
        <w:rPr>
          <w:b/>
        </w:rPr>
        <w:t>flickorna²</w:t>
      </w:r>
      <w:r>
        <w:rPr>
          <w:b w:val="0"/>
        </w:rPr>
        <w:t xml:space="preserve">, landets </w:t>
      </w:r>
      <w:r>
        <w:rPr>
          <w:b/>
        </w:rPr>
        <w:t>kvinnliga¹</w:t>
      </w:r>
      <w:r>
        <w:rPr>
          <w:b w:val="0"/>
        </w:rPr>
        <w:t xml:space="preserve"> ungdom, icke äro några tomma</w:t>
        <w:br/>
        <w:br/>
        <w:t>principer — kanske äro de det för herr Olsson — utan de äro verkligen en av folkets realiteter — halva realiteten i den unga generationen. Däri ligger också</w:t>
        <w:br/>
        <w:br/>
        <w:t>rättfärdighetskravet och inte i en sådan sak som frågan, om vissa personer bli hörda eller icke i denna angelägenhet.</w:t>
        <w:br/>
        <w:br/>
        <w:t>Jag tager också för min del avstånd från det uttalandet, att det är likgiltigt, om det första andrakammarbeslutet blir riksdagens beslut eller om sammanjämkningen bifalles. Mellan dessa två alternativ skulle jag icke tveka. Men nu är jag 1 alla fall tveksam, om jag skall uppoffra det väsentliga och principiella i denna sak, som, såvitt jag förstår, blir tämligen lika litet tillgodosett med sammanjämkningsförslaget som i det ursprungliga andrakammarbeslutet.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