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1666</w:t>
      </w:r>
    </w:p>
    <w:p>
      <w:r>
        <w:rPr>
          <w:b/>
        </w:rPr>
        <w:t xml:space="preserve">Datum: </w:t>
      </w:r>
      <w:r>
        <w:t>1925-05-15</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Theodor af Ekenstam (Lantmanna- och borgarepartiet inom andrakammaren, man)</w:t>
      </w:r>
    </w:p>
    <w:p>
      <w:r>
        <w:rPr>
          <w:b w:val="0"/>
        </w:rPr>
        <w:t>Herr talman! Det stora anslag, om vars beviljande utskottet här har hemställt och som utan allt tvivel också kommer att av riksdagen beviljas, har icke så länge funnits i statsbudgeten. Vi behöva icke gå tillbaka många år för att finna att de utgifter, som anslagits till domsagornas förvaltning, varit ganska små. Man må väl då fråga sig: ha nu på senare tider uppstått nya behov, som på detta sätt behöva med rätt stora anslag fyllas, eller på vad sätt har överhuvud taget domsagornas förvaltning varit ordnad?</w:t>
        <w:br/>
        <w:br/>
        <w:t>Det torde utan något som helst tvivel kunna sägas, att ända till snart sagt den allra sista tiden kostnaderna för domsagornas förvaltning ålegat häradshövdingen och icke minst de unga juristerna. Det har varit så, att de, som skulle komma ut på den juridiska vägen, nästan som ofrånkomligt villkor för vidare befordran skulle ha genomgått lantdomarkursen och suttit ting. Stundom kunde det inträffa, att häradshövdingen uti sin familj upptog den unga Juristen, men det var en särskild ynnest, och en ynnest, som, ju mera tiderna ha lidit framåt och ju mera som de gamla häradshövdingeboställena blivit övergivna, har försvunnit. I dess ställe och i stor utsträckning ha de unga biträdena själva fått bära alla kostnaderna för en vistelse i domsagan och på det sättet fått bidraga till domsagornas förvaltning.</w:t>
        <w:br/>
        <w:br/>
        <w:t>Jag vill erinra om detta, därför att man har i många avseenden kritiserat den ordning, som funnits här i vårt svenska land. Man har kritiserat, att de unga männen kanske alltför tidigt ha släppts fram för att genom självständigt domarämbete skipa lag och rätt. Men då vill jag också erinra om, att många skäl och ej minst de nyss anförda kunde tala för att den förberedande tingstjänstgöringen ej gjordes för lång, och dessutom måste man rättvisligen fasthålla, att resultatet av detta de ungas arbete ingalunda visat sig vara särskilt dåligt. Tvärtom, man må väl säga, att i det hela har allt fungerat synnerligen bra, och alldeles särskilt må man också erinra sig, att på detta sätt har hela Sveriges ämbetsmannakår i stort sett fått sin uppfostran. Och det torde kanske icke vara alltför förmätet att säga. att även från andra håll har det erkänts, att denna ämbetsmannakår står på höjden av vad helst vi annars i världen ha att jämföra oss med.</w:t>
        <w:br/>
        <w:br/>
        <w:t>Det kunde ju tyckas vara ganska onödigt att erinra om detta. Men i och med det, att det nu börjar en ny tid med nya och många reglementen, så är den gamla tiden snart förbi, och det är då inte oriktigt att med en viss tacksamhet se tillbaka på den och med en viss farhåga se framåt på den tid som stundar. Ty det är alldeles säkert icke genom reglementen och anslag, som man når de allra bästa resultaten; det ha nog de resultat som hittills vunnits visat. Men vi ha i alla fall hunnit så långt, att det tycks vara en given sak, att det skall reglementeras i ganska utförlig omfattning och på ett ganska detaljerat sätt. Framtiden må visa om det är till lycka för vår svenska rättsskipning. Att däremot tiderna numera också blivit sådana, att statsmakterna funnit skäligt att genom allehanda anslag understödja de unga Juristerna, då de äro ute på tingstjänstgöring, må väl icke kallas annat än ganska tacknämligt. Men, som sagt, jag har velat i förbigående erinra om vad som varit, då utan allt tvivel detta kommer att ställa ett och annat av vad framtiden bär i sitt sköte i en rätt belysning.</w:t>
        <w:br/>
        <w:br/>
        <w:t xml:space="preserve">Det betänkande, som här ligger före och som har fått utskottets tillstyrkande, har dock uti ett visst avseende ansetts vara sådant, att reservanter däremot måst opponera och det har varit angående den levnadsålder, vid vilken det skulle anses vara för staten nyttigt och lämpligt, att </w:t>
      </w:r>
      <w:r>
        <w:rPr>
          <w:b/>
        </w:rPr>
        <w:t>kvinna¹</w:t>
      </w:r>
      <w:r>
        <w:rPr>
          <w:b w:val="0"/>
        </w:rPr>
        <w:t xml:space="preserve"> kunde lämnas tillträde att vara ordförande uti häradsrätt vid allmänt tingssammanträde. Att </w:t>
      </w:r>
      <w:r>
        <w:rPr>
          <w:b/>
        </w:rPr>
        <w:t>kvinna¹</w:t>
      </w:r>
      <w:r>
        <w:rPr>
          <w:b w:val="0"/>
        </w:rPr>
        <w:t xml:space="preserve"> har rätt att nu komma in på den juridiska vägen och att </w:t>
      </w:r>
      <w:r>
        <w:rPr>
          <w:b/>
        </w:rPr>
        <w:t>hon²</w:t>
      </w:r>
      <w:r>
        <w:rPr>
          <w:b w:val="0"/>
        </w:rPr>
        <w:t xml:space="preserve"> har rätt att genom tjänstgöring på landet förvärva sig både den »första» och »andra behörighetsgraden», som det kallas, det veta vi. Men frågan står dock tills vidare öppen, hur man skall tänka sig, att man skall ordna, då man kommer till den kritiska stund, då fråga uppstår att </w:t>
      </w:r>
      <w:r>
        <w:rPr>
          <w:b/>
        </w:rPr>
        <w:t>kvinna¹</w:t>
      </w:r>
      <w:r>
        <w:rPr>
          <w:b w:val="0"/>
        </w:rPr>
        <w:t xml:space="preserve"> skall förordnas att vara ordförande i häradsrätt vid allmänt sammanträde. Envar, som har någon kunskap om de förhållanden, som där förekomma, kan väl icke annat än åtminstone för sig själv förklara, att så många grannlaga förhållanden kunna där ifrågakomma, så många pinsamma situationer kunna där uppstå, att man väl kan kräva att, innan </w:t>
      </w:r>
      <w:r>
        <w:rPr>
          <w:b/>
        </w:rPr>
        <w:t>kvinna¹</w:t>
      </w:r>
      <w:r>
        <w:rPr>
          <w:b w:val="0"/>
        </w:rPr>
        <w:t xml:space="preserve"> sättes på ordförandeplatsen, </w:t>
      </w:r>
      <w:r>
        <w:rPr>
          <w:b/>
        </w:rPr>
        <w:t>hon²</w:t>
      </w:r>
      <w:r>
        <w:rPr>
          <w:b w:val="0"/>
        </w:rPr>
        <w:t xml:space="preserve"> skall ha</w:t>
        <w:br/>
        <w:br/>
        <w:t xml:space="preserve">hunnit en något mognare ålder, hunnit få någon mera erfarenhet, ja, jag skulle vilja säga hunnit bli litet mera »barkad» i livets strid, än vad man kan tänka sig om en 25—26 års </w:t>
      </w:r>
      <w:r>
        <w:rPr>
          <w:b/>
        </w:rPr>
        <w:t>flicka²</w:t>
      </w:r>
      <w:r>
        <w:rPr>
          <w:b w:val="0"/>
        </w:rPr>
        <w:t xml:space="preserve">. Det är därför, som reservanterna anse att man i enlighet med de motioner, som i detta sammanhang ha blivit väckta, skulle såsom en åldersgräns nedåt för </w:t>
      </w:r>
      <w:r>
        <w:rPr>
          <w:b/>
        </w:rPr>
        <w:t>kvinnan¹</w:t>
      </w:r>
      <w:r>
        <w:rPr>
          <w:b w:val="0"/>
        </w:rPr>
        <w:t xml:space="preserve"> sätta, att </w:t>
      </w:r>
      <w:r>
        <w:rPr>
          <w:b/>
        </w:rPr>
        <w:t>hon²</w:t>
      </w:r>
      <w:r>
        <w:rPr>
          <w:b w:val="0"/>
        </w:rPr>
        <w:t xml:space="preserve"> icke skulle få förordnande att såsom ordförande tjänstgöra uti häradsrätt vid allmänt ting, förrän </w:t>
      </w:r>
      <w:r>
        <w:rPr>
          <w:b/>
        </w:rPr>
        <w:t>hon²</w:t>
      </w:r>
      <w:r>
        <w:rPr>
          <w:b w:val="0"/>
        </w:rPr>
        <w:t xml:space="preserve"> fyllt 30 år.</w:t>
        <w:br/>
        <w:br/>
        <w:t xml:space="preserve">Det torde, om man tänker efter förhållandena, icke vara så märkvärdigt, att man kräver denna högre ålder för att vara förvissad om att </w:t>
      </w:r>
      <w:r>
        <w:rPr>
          <w:b/>
        </w:rPr>
        <w:t>kvinnans¹</w:t>
      </w:r>
      <w:r>
        <w:rPr>
          <w:b w:val="0"/>
        </w:rPr>
        <w:t xml:space="preserve"> erfarenhet, </w:t>
      </w:r>
      <w:r>
        <w:rPr>
          <w:b/>
        </w:rPr>
        <w:t>hennes²</w:t>
      </w:r>
      <w:r>
        <w:rPr>
          <w:b w:val="0"/>
        </w:rPr>
        <w:t xml:space="preserve"> utbildning och hela </w:t>
      </w:r>
      <w:r>
        <w:rPr>
          <w:b/>
        </w:rPr>
        <w:t>hennes²</w:t>
      </w:r>
      <w:r>
        <w:rPr>
          <w:b w:val="0"/>
        </w:rPr>
        <w:t xml:space="preserve"> förmåga att kunna sköta en sådan befattning skall ha nått den mognad, som vi böra förutsätta. Jag vill dessutom erinra om att </w:t>
      </w:r>
      <w:r>
        <w:rPr>
          <w:b/>
        </w:rPr>
        <w:t>kvinna¹</w:t>
      </w:r>
      <w:r>
        <w:rPr>
          <w:b w:val="0"/>
        </w:rPr>
        <w:t xml:space="preserve"> har i åtskilliga fall eller åtminstone i ett bestämt fall en möjlighet att rent av distansera mannen på detta förberedande arbetsstadium. Ty mannen har ju i allmänhet skyldighet att fullgöra sin värnplikt; den skyldigheten åligger icke </w:t>
      </w:r>
      <w:r>
        <w:rPr>
          <w:b/>
        </w:rPr>
        <w:t>kvinnan¹</w:t>
      </w:r>
      <w:r>
        <w:rPr>
          <w:b w:val="0"/>
        </w:rPr>
        <w:t xml:space="preserve">. Det blir ju då i regel ett helt års vinst för </w:t>
      </w:r>
      <w:r>
        <w:rPr>
          <w:b/>
        </w:rPr>
        <w:t>henne²</w:t>
      </w:r>
      <w:r>
        <w:rPr>
          <w:b w:val="0"/>
        </w:rPr>
        <w:t xml:space="preserve">, och det året får man väl antaga, att </w:t>
      </w:r>
      <w:r>
        <w:rPr>
          <w:b/>
        </w:rPr>
        <w:t>hon²</w:t>
      </w:r>
      <w:r>
        <w:rPr>
          <w:b w:val="0"/>
        </w:rPr>
        <w:t xml:space="preserve"> kommer att använda på ett nyttigt och för sin framgång lyckligt sätt. Att man dessutom kan tänka sig, att </w:t>
      </w:r>
      <w:r>
        <w:rPr>
          <w:b/>
        </w:rPr>
        <w:t>hon²</w:t>
      </w:r>
      <w:r>
        <w:rPr>
          <w:b w:val="0"/>
        </w:rPr>
        <w:t xml:space="preserve"> skulle kunna få en alldeles särskild förmån genom vad den kungl. propositionen har tänkt sig i avseende å </w:t>
      </w:r>
      <w:r>
        <w:rPr>
          <w:b/>
        </w:rPr>
        <w:t>hennes²</w:t>
      </w:r>
      <w:r>
        <w:rPr>
          <w:b w:val="0"/>
        </w:rPr>
        <w:t xml:space="preserve"> utbildningsarbete, det vill jag också i förbigående påpeka. Det är ju någonting, som visserligen icke varje </w:t>
      </w:r>
      <w:r>
        <w:rPr>
          <w:b/>
        </w:rPr>
        <w:t>kvinna¹</w:t>
      </w:r>
      <w:r>
        <w:rPr>
          <w:b w:val="0"/>
        </w:rPr>
        <w:t xml:space="preserve"> kan lyckas skaffa sig men som kan inträffa, om nämligen som det nu är bestämt mannen har den förberedande utbildningstiden av två år i domsaga, medan </w:t>
      </w:r>
      <w:r>
        <w:rPr>
          <w:b/>
        </w:rPr>
        <w:t>kvinnan¹</w:t>
      </w:r>
      <w:r>
        <w:rPr>
          <w:b w:val="0"/>
        </w:rPr>
        <w:t xml:space="preserve"> däremot har ett och ett halvt år i domsagan och sedan ett halvt år i hovrätt eller större rådstuvurätt. Vill </w:t>
      </w:r>
      <w:r>
        <w:rPr>
          <w:b/>
        </w:rPr>
        <w:t>hon²</w:t>
      </w:r>
      <w:r>
        <w:rPr>
          <w:b w:val="0"/>
        </w:rPr>
        <w:t xml:space="preserve"> då välja hovrätt, så är det så, som även i reservationen är påpekat, att stannar </w:t>
      </w:r>
      <w:r>
        <w:rPr>
          <w:b/>
        </w:rPr>
        <w:t>hon²</w:t>
      </w:r>
      <w:r>
        <w:rPr>
          <w:b w:val="0"/>
        </w:rPr>
        <w:t xml:space="preserve"> där endast och allenast de obligatoriska sex månaderna, så har förvisso hovrätten inte haft tillfälle att egentligen pröva </w:t>
      </w:r>
      <w:r>
        <w:rPr>
          <w:b/>
        </w:rPr>
        <w:t>henne²</w:t>
      </w:r>
      <w:r>
        <w:rPr>
          <w:b w:val="0"/>
        </w:rPr>
        <w:t xml:space="preserve"> uti mera självständigt arbete. Ty under dessa sex månader får </w:t>
      </w:r>
      <w:r>
        <w:rPr>
          <w:b/>
        </w:rPr>
        <w:t>hon²</w:t>
      </w:r>
      <w:r>
        <w:rPr>
          <w:b w:val="0"/>
        </w:rPr>
        <w:t xml:space="preserve"> väl endast och allenast tjänstgöra vid protokollet eller som amanuens. Men har </w:t>
      </w:r>
      <w:r>
        <w:rPr>
          <w:b/>
        </w:rPr>
        <w:t>hon²</w:t>
      </w:r>
      <w:r>
        <w:rPr>
          <w:b w:val="0"/>
        </w:rPr>
        <w:t xml:space="preserve"> avslutat dessa sex månader, så kan det nog hända, att en </w:t>
      </w:r>
      <w:r>
        <w:rPr>
          <w:b/>
        </w:rPr>
        <w:t>flicka²</w:t>
      </w:r>
      <w:r>
        <w:rPr>
          <w:b w:val="0"/>
        </w:rPr>
        <w:t xml:space="preserve"> är förståndig nog att inse, att stannar </w:t>
      </w:r>
      <w:r>
        <w:rPr>
          <w:b/>
        </w:rPr>
        <w:t>hon²</w:t>
      </w:r>
      <w:r>
        <w:rPr>
          <w:b w:val="0"/>
        </w:rPr>
        <w:t xml:space="preserve"> en eller annan månad längre i hovrätten, har </w:t>
      </w:r>
      <w:r>
        <w:rPr>
          <w:b/>
        </w:rPr>
        <w:t>hon²</w:t>
      </w:r>
      <w:r>
        <w:rPr>
          <w:b w:val="0"/>
        </w:rPr>
        <w:t xml:space="preserve"> utsikt att få ett självständigt fiskalsförordnande, och därigenom skall också hovrätten ha större möjlighet att pröva </w:t>
      </w:r>
      <w:r>
        <w:rPr>
          <w:b/>
        </w:rPr>
        <w:t>hennes²</w:t>
      </w:r>
      <w:r>
        <w:rPr>
          <w:b w:val="0"/>
        </w:rPr>
        <w:t xml:space="preserve"> kraft och ce </w:t>
      </w:r>
      <w:r>
        <w:rPr>
          <w:b/>
        </w:rPr>
        <w:t>henne²</w:t>
      </w:r>
      <w:r>
        <w:rPr>
          <w:b w:val="0"/>
        </w:rPr>
        <w:t xml:space="preserve"> det intyg som kräves. Men har </w:t>
      </w:r>
      <w:r>
        <w:rPr>
          <w:b/>
        </w:rPr>
        <w:t>hon²</w:t>
      </w:r>
      <w:r>
        <w:rPr>
          <w:b w:val="0"/>
        </w:rPr>
        <w:t xml:space="preserve"> fått detta fiskalsförordnande, så är det å andra sidan alldeles säker att, sedan </w:t>
      </w:r>
      <w:r>
        <w:rPr>
          <w:b/>
        </w:rPr>
        <w:t>hon²</w:t>
      </w:r>
      <w:r>
        <w:rPr>
          <w:b w:val="0"/>
        </w:rPr>
        <w:t xml:space="preserve"> efteråt återgått till tingstjänstgöring, sedan </w:t>
      </w:r>
      <w:r>
        <w:rPr>
          <w:b/>
        </w:rPr>
        <w:t>hon²</w:t>
      </w:r>
      <w:r>
        <w:rPr>
          <w:b w:val="0"/>
        </w:rPr>
        <w:t xml:space="preserve"> suttit de tre ting, som åligga </w:t>
      </w:r>
      <w:r>
        <w:rPr>
          <w:b/>
        </w:rPr>
        <w:t>henne²</w:t>
      </w:r>
      <w:r>
        <w:rPr>
          <w:b w:val="0"/>
        </w:rPr>
        <w:t xml:space="preserve"> för att fullgöra den saken, så har </w:t>
      </w:r>
      <w:r>
        <w:rPr>
          <w:b/>
        </w:rPr>
        <w:t>hon²</w:t>
      </w:r>
      <w:r>
        <w:rPr>
          <w:b w:val="0"/>
        </w:rPr>
        <w:t xml:space="preserve">, om </w:t>
      </w:r>
      <w:r>
        <w:rPr>
          <w:b/>
        </w:rPr>
        <w:t>hon²</w:t>
      </w:r>
      <w:r>
        <w:rPr>
          <w:b w:val="0"/>
        </w:rPr>
        <w:t xml:space="preserve"> återvänder till hovrätten, den chansen att </w:t>
      </w:r>
      <w:r>
        <w:rPr>
          <w:b/>
        </w:rPr>
        <w:t>hon²</w:t>
      </w:r>
      <w:r>
        <w:rPr>
          <w:b w:val="0"/>
        </w:rPr>
        <w:t xml:space="preserve"> har haft fiskalsförordnande redan förut, och </w:t>
      </w:r>
      <w:r>
        <w:rPr>
          <w:b/>
        </w:rPr>
        <w:t>hon²</w:t>
      </w:r>
      <w:r>
        <w:rPr>
          <w:b w:val="0"/>
        </w:rPr>
        <w:t xml:space="preserve"> har sålunda stora utsikter för att vid återvändande till hovrätten få nytt fiskalsförordnande. Denna utsikt har icke den unge mannen. Den </w:t>
      </w:r>
      <w:r>
        <w:rPr>
          <w:b/>
        </w:rPr>
        <w:t>kvinna¹</w:t>
      </w:r>
      <w:r>
        <w:rPr>
          <w:b w:val="0"/>
        </w:rPr>
        <w:t xml:space="preserve">, som har det så ställt för sig, och den man, som samtidigt med </w:t>
      </w:r>
      <w:r>
        <w:rPr>
          <w:b/>
        </w:rPr>
        <w:t>henne²</w:t>
      </w:r>
      <w:r>
        <w:rPr>
          <w:b w:val="0"/>
        </w:rPr>
        <w:t xml:space="preserve"> slutat lantdomartjänstgöring och som samtidigt kommer in i hovrätten, de stå icke lika. </w:t>
      </w:r>
      <w:r>
        <w:rPr>
          <w:b/>
        </w:rPr>
        <w:t>Kvinnan¹</w:t>
      </w:r>
      <w:r>
        <w:rPr>
          <w:b w:val="0"/>
        </w:rPr>
        <w:t xml:space="preserve"> har haft sin fiskalstjänstgöring förut, </w:t>
      </w:r>
      <w:r>
        <w:rPr>
          <w:b/>
        </w:rPr>
        <w:t>hon²</w:t>
      </w:r>
      <w:r>
        <w:rPr>
          <w:b w:val="0"/>
        </w:rPr>
        <w:t xml:space="preserve"> kan få en ny fiskalstjänstgöring kanske omedelbart; mannen måste i regel gå nio månader, innan han kan få något förordnande.</w:t>
        <w:br/>
        <w:br/>
        <w:t xml:space="preserve">Denna sak, som ju kanske inte kan synas vara av alltför omfattande betydelse, fastän den naturligtvis, då det gäller befordran i hovrätt, är av ganska stor vikt, den har dock sin mycket stora betydelse, då det gäller befordran på andra håll. Vi skola tänka på det, att såsom förhållandena nu lära vara — och man får antaga, att någon större ändring i det hänseendet icke, åtminstone inom den närmaste tiden, kommer att uppstå — har den, som fullgjort lantdomartjänsten och dessutom varit i hovrätt och haft fiskalsförordnande, alldeles avgjort ett försteg framför den, som icke haft fiskalstjänstgöring. Med ett ord, hur man än ser saken, så finnes det tillfällen, varigenom </w:t>
      </w:r>
      <w:r>
        <w:rPr>
          <w:b/>
        </w:rPr>
        <w:t>kvinnan¹</w:t>
      </w:r>
      <w:r>
        <w:rPr>
          <w:b w:val="0"/>
        </w:rPr>
        <w:t xml:space="preserve"> verkligen kan få ett försteg framför mannen, och detta kan väl icke gärna anses vara särskilt önskligt. Även den saken skulle i rätt avsevärd grad bortfalla,</w:t>
        <w:br/>
        <w:br/>
        <w:t>om reservanternas tanke, att de 30 åren skulle bestämmas såsom den avgörande gränsen för förordnandet, bleve upptagen.</w:t>
        <w:br/>
        <w:br/>
        <w:t>Jag anhåller därför, herr talman, att uti utskottets motivering den ändring måtte ske, som finnes framställd i herr Edward Larsons reservation.</w:t>
      </w:r>
    </w:p>
    <w:p>
      <w:pPr>
        <w:pStyle w:val="Heading2"/>
      </w:pPr>
      <w:r>
        <w:t>2. Torsten Nothin (Socialdemokraterna, man)</w:t>
      </w:r>
    </w:p>
    <w:p>
      <w:r>
        <w:rPr>
          <w:b w:val="0"/>
        </w:rPr>
        <w:t xml:space="preserve">Herr talman! Såsom den föregående talaren framhöll, har utskottet enhälligt tillstyrkt beviljande av det begärda anslagsbeloppet och har likaledes enhälligt förklarat sig icke hava något att erinra mot de i domsagostadgan ifrågasatta ändringarna, med undantag dock beträffande en punkt. Jag anser mig därför icke hava anledning att nu gå in på det av den föregående talaren berörda spörsmålet angående den nuvarande rättegångsordningens lämplighet eller olämplighet, utan vill begränsa mig till att taga upp endast den punkt, varom delade meningar yppats inom utskottet, nämligen frågan om </w:t>
      </w:r>
      <w:r>
        <w:rPr>
          <w:b/>
        </w:rPr>
        <w:t>kvinnas¹</w:t>
      </w:r>
      <w:r>
        <w:rPr>
          <w:b w:val="0"/>
        </w:rPr>
        <w:t xml:space="preserve"> rätt att få förvalta domarämbete.</w:t>
        <w:br/>
        <w:br/>
        <w:t xml:space="preserve">Jag får erkänna, att jag har svårt att förstå de starka betänkligheter, som rests i denna fråga. Statsmakterna hava ju redan i princip bestämt sig för likställighet mellan man och </w:t>
      </w:r>
      <w:r>
        <w:rPr>
          <w:b/>
        </w:rPr>
        <w:t>kvinna¹</w:t>
      </w:r>
      <w:r>
        <w:rPr>
          <w:b w:val="0"/>
        </w:rPr>
        <w:t xml:space="preserve"> i fråga om rätt att erhålla statstjänst, och Jag förstår därför icke, att den av den siste talaren framhållna synpunkten, att </w:t>
      </w:r>
      <w:r>
        <w:rPr>
          <w:b/>
        </w:rPr>
        <w:t>kvinnorna¹</w:t>
      </w:r>
      <w:r>
        <w:rPr>
          <w:b w:val="0"/>
        </w:rPr>
        <w:t xml:space="preserve"> ej fullgöra värnplikt, längre kan vara aktuell. De undantag, som kunna ifrågasättas i det ena eller andra avseendet böra endast göras, om särskilda skäl föreligga. När riksdagen senast behandlade frågan om </w:t>
      </w:r>
      <w:r>
        <w:rPr>
          <w:b/>
        </w:rPr>
        <w:t>kvinnas¹</w:t>
      </w:r>
      <w:r>
        <w:rPr>
          <w:b w:val="0"/>
        </w:rPr>
        <w:t xml:space="preserve"> rätt att förvalta domarämbetet, uttalade riksdagen, att, enligt dess uppfattning, det borde särskilt komma under övervägande, huruvida fullgörande av viss tjänstgöring i hovrätt eller rådstuvurätt borde, förutom viss tids tjänstgöring i domsaga, för </w:t>
      </w:r>
      <w:r>
        <w:rPr>
          <w:b/>
        </w:rPr>
        <w:t>kvinna¹</w:t>
      </w:r>
      <w:r>
        <w:rPr>
          <w:b w:val="0"/>
        </w:rPr>
        <w:t xml:space="preserve"> utgöra en förutsättning för behörighet att hålla allmänt tingssammanträde. Det är just efter denna av riksdagen anvisade väg, Jag sökt finna lösningen. Jag har sökt utfinna sådana bestämmelser, att </w:t>
      </w:r>
      <w:r>
        <w:rPr>
          <w:b/>
        </w:rPr>
        <w:t>kvinna¹</w:t>
      </w:r>
      <w:r>
        <w:rPr>
          <w:b w:val="0"/>
        </w:rPr>
        <w:t xml:space="preserve"> icke med avseende på tiden för förvärvande av erforderliga meriter skulle bli sämre ställd än mannen, samtidigt som en fullt betryggande prövning av vederbörande kandidats lämplighet för ändamålet åvägabragtes. Det är ur denna synpunkt, som förslaget blivit sålunda lagt, att </w:t>
      </w:r>
      <w:r>
        <w:rPr>
          <w:b/>
        </w:rPr>
        <w:t>kvinna¹</w:t>
      </w:r>
      <w:r>
        <w:rPr>
          <w:b w:val="0"/>
        </w:rPr>
        <w:t xml:space="preserve"> skall tjänstgöra i domsaga lika länge, som f. n. fordras för erhållande av full tingsmyndighet och att </w:t>
      </w:r>
      <w:r>
        <w:rPr>
          <w:b/>
        </w:rPr>
        <w:t>hon²</w:t>
      </w:r>
      <w:r>
        <w:rPr>
          <w:b w:val="0"/>
        </w:rPr>
        <w:t xml:space="preserve"> därutöver skall tjänstgöra ett halvt år i hovrätt eller som ledamot av rådhusrätt. Samtidigt har tjänstgöringen i domsaga för manliga aspiranter utsträckts till lika lång tid.</w:t>
        <w:br/>
        <w:br/>
        <w:t xml:space="preserve">De farhågor, som nu uttalats mot denna anordning, kunna sägas utmynna antingen däri, att olämpliga </w:t>
      </w:r>
      <w:r>
        <w:rPr>
          <w:b/>
        </w:rPr>
        <w:t>kvinnliga¹</w:t>
      </w:r>
      <w:r>
        <w:rPr>
          <w:b w:val="0"/>
        </w:rPr>
        <w:t xml:space="preserve"> aspiranter kunna släppas fram till domarförordnande överhuvud taget eller också, att förhållandena på någon särskild ort kunde vara sådana, att det för befolkningen skulle te sig olämpligt med en </w:t>
      </w:r>
      <w:r>
        <w:rPr>
          <w:b/>
        </w:rPr>
        <w:t>kvinnlig¹</w:t>
      </w:r>
      <w:r>
        <w:rPr>
          <w:b w:val="0"/>
        </w:rPr>
        <w:t xml:space="preserve"> ordförande i häradsrätten. Den förra betänkligheten måste väl vara undanröjd därigenom, att hovrätten satts i tillfälle att se på vederbörande aspirant under ett halvt år. Detta är f. ö. ingen maximitid, utan blott en minimitid. Skulle hovrätten icke hava under denna tid hunnit bilda sig en uppfattning om den </w:t>
      </w:r>
      <w:r>
        <w:rPr>
          <w:b/>
        </w:rPr>
        <w:t>kvinnliga¹</w:t>
      </w:r>
      <w:r>
        <w:rPr>
          <w:b w:val="0"/>
        </w:rPr>
        <w:t xml:space="preserve"> aspirantens lämplighet, så är det ju ingenting som hindrar, att hovrätten litet längre prövar </w:t>
      </w:r>
      <w:r>
        <w:rPr>
          <w:b/>
        </w:rPr>
        <w:t>hennes²</w:t>
      </w:r>
      <w:r>
        <w:rPr>
          <w:b w:val="0"/>
        </w:rPr>
        <w:t xml:space="preserve"> förmåga och skicklighet.</w:t>
        <w:br/>
        <w:br/>
        <w:t xml:space="preserve">Mot den andra farhågan — att tänkesättet inom en viss landsdel kunde vara sådant, att man skulle känna sig chockerad av en </w:t>
      </w:r>
      <w:r>
        <w:rPr>
          <w:b/>
        </w:rPr>
        <w:t>kvinnlig¹</w:t>
      </w:r>
      <w:r>
        <w:rPr>
          <w:b w:val="0"/>
        </w:rPr>
        <w:t xml:space="preserve"> ordförande — vill Jag invända, att jag tror man med fullt förtroende kan lita på, att vederbörande häradshövding icke föreslår till vikarie en </w:t>
      </w:r>
      <w:r>
        <w:rPr>
          <w:b/>
        </w:rPr>
        <w:t>kvinna¹</w:t>
      </w:r>
      <w:r>
        <w:rPr>
          <w:b w:val="0"/>
        </w:rPr>
        <w:t xml:space="preserve"> i fall, där det ur nämnda synpunkt skulle vara olämpligt. Och jag tror också. att hovrätten med sin kännedom om förhållandena därvidlag skall kunna utöva en lämplig kontroll.</w:t>
        <w:br/>
        <w:br/>
        <w:t>Om sålunda å ena sidan farhågorna synas mig överdrivna eller så gott som obefogade, så kan jag icke komma ifrån, att ett bifall till reservanternas för-</w:t>
        <w:br/>
        <w:br/>
        <w:t xml:space="preserve">slag skulle innebära en obillighet mot de </w:t>
      </w:r>
      <w:r>
        <w:rPr>
          <w:b/>
        </w:rPr>
        <w:t>kvinnliga¹</w:t>
      </w:r>
      <w:r>
        <w:rPr>
          <w:b w:val="0"/>
        </w:rPr>
        <w:t xml:space="preserve"> tjänstemannaaspiranterna. Reservanterna säga endast att »såsom kompetensvillkor för </w:t>
      </w:r>
      <w:r>
        <w:rPr>
          <w:b/>
        </w:rPr>
        <w:t>kvinna¹</w:t>
      </w:r>
      <w:r>
        <w:rPr>
          <w:b w:val="0"/>
        </w:rPr>
        <w:t xml:space="preserve"> för rätt att erhålla domarförordnande med vidsträcktare befogenhet borde stadgas åtskilligt högre ålder än den för män föreskrivna», varefter reservanterna hänvisa till det uttalande, som gjorts i motionen. Går man till motionen, finner man emellertid, att där föreslås icke mindre än 5 års högre levnadsålder för </w:t>
      </w:r>
      <w:r>
        <w:rPr>
          <w:b/>
        </w:rPr>
        <w:t>kvinna¹</w:t>
      </w:r>
      <w:r>
        <w:rPr>
          <w:b w:val="0"/>
        </w:rPr>
        <w:t xml:space="preserve"> än för man och därjämte föreslås, att denna högre levnadsålder skall gälla icke blott för befogenhet att hålla ett vanligt allmänt tingssammanträde, utan jämväl för befogenhet att hålla tremansting, d. v. s. att handlägga lagfartsoch inskrivningsärenden samt vissa enklare mål, som kunna slutdömas redan vid första rättegångstillfället. Förslaget om denna högre ålder innebär, åtminstone efter mitt sätt att se, en uppenbar orättvisa mot såväl alla de </w:t>
      </w:r>
      <w:r>
        <w:rPr>
          <w:b/>
        </w:rPr>
        <w:t>kvinnliga¹</w:t>
      </w:r>
      <w:r>
        <w:rPr>
          <w:b w:val="0"/>
        </w:rPr>
        <w:t xml:space="preserve"> jurister, som avse att ägna sig åt domarverksamhet, som mot den ännu större kategori, som ämnar ägna sig åt administrativ statstjänst men som dessförinnan anser sig böra förskaffa sig den erfarenhet, som erhålles vid de allmänna domstolarna. Den föregående ärade talaren uppehöll sig särskilt vid en detalj, nämligen frågan om möjligheten för </w:t>
      </w:r>
      <w:r>
        <w:rPr>
          <w:b/>
        </w:rPr>
        <w:t>kvinna¹</w:t>
      </w:r>
      <w:r>
        <w:rPr>
          <w:b w:val="0"/>
        </w:rPr>
        <w:t xml:space="preserve"> att erhålla fiskalsförordnande redan före den första tingssittningen. Jag kan icke förstå, att härvidlag förefinnes någon som helst anledning till betänksamhet. Om ett tillfälligt förordnande meddelas något förr eller senare, kan ej betyda något för rätten till stadigvarande förordnande och till ordinarie plats, utan lärer därvid, som hittills, gälla grundlagens villkor om förtjänst och skicklighet. Den omständigheten, att vederbörande haft något kortvarigt förordnande, givet ur prövningssynpunkt, verkar härvidlag ingen rubbning. För övrigt framgår ju av allt det motstånd, som rests och reses, och väl även kommer att resas mot </w:t>
      </w:r>
      <w:r>
        <w:rPr>
          <w:b/>
        </w:rPr>
        <w:t>kvinnors¹</w:t>
      </w:r>
      <w:r>
        <w:rPr>
          <w:b w:val="0"/>
        </w:rPr>
        <w:t xml:space="preserve"> tillträde till stats- Fi att man icke alls behöver befara att </w:t>
      </w:r>
      <w:r>
        <w:rPr>
          <w:b/>
        </w:rPr>
        <w:t>kvinnorna¹</w:t>
      </w:r>
      <w:r>
        <w:rPr>
          <w:b w:val="0"/>
        </w:rPr>
        <w:t xml:space="preserve"> skola komma för fort ram.</w:t>
      </w:r>
    </w:p>
    <w:p>
      <w:pPr>
        <w:pStyle w:val="Heading2"/>
      </w:pPr>
      <w:r>
        <w:t>3. Ernst Lindley (Socialdemokraterna, man)</w:t>
      </w:r>
    </w:p>
    <w:p>
      <w:r>
        <w:rPr>
          <w:b w:val="0"/>
        </w:rPr>
        <w:t xml:space="preserve">Herr talman! Efter det anförande, som herr statsrådet och chefen för justitiedepartementet nu hållit, och i vilket han bemött de synpunkter, som reservanten herr af Ekenstam framfört, anser jag mig icke vidare behöva gå in på detta spörsmål. Jag tror också, att kammaren är mest belåten med att vi söka fatta oss så kort som möjligt, så att vi kunna komma igenom den långa föredragningslistan. Utskottet har, som synes, blivit enigt på alla punkter utom i fråga om utbildningstiden för de </w:t>
      </w:r>
      <w:r>
        <w:rPr>
          <w:b/>
        </w:rPr>
        <w:t>kvinnliga¹</w:t>
      </w:r>
      <w:r>
        <w:rPr>
          <w:b w:val="0"/>
        </w:rPr>
        <w:t xml:space="preserve"> biträdande juristerna, och därvidlag vill jag säga, att utskottet, trots det att utskottet gått på den kungl. propositionen, i sitt utlåtande givit uttryck för så pass starka betänkligheter, att utlåtandet väl kan tjäna som stöd för de häradshövdingar, som en gång skola avgiva sitt omdöme om och rekommendera — eller icke rekommendera — </w:t>
      </w:r>
      <w:r>
        <w:rPr>
          <w:b/>
        </w:rPr>
        <w:t>kvinnor¹</w:t>
      </w:r>
      <w:r>
        <w:rPr>
          <w:b w:val="0"/>
        </w:rPr>
        <w:t xml:space="preserve"> till utövande av ordförandeskap i häradsrätt. Jag tror, att, om vi betänka detta förhållande, och om vi jämväl tänka på att, därest man, som reservanterna föreslagit, skulle sätta en allmän gräns vid 30 år, så skulle följden därav bliva en fullständigt schematisk avskärning av alla dem, som även före uppnåendet av nämnda ålder kunde befinnas lämpliga att förvalta domarämbete. Jag tror, att vi skulle göra en överloppsgärning, om vi bifölle reservanternas förslag. Utan tvivel kommer saken att reglera sig i framtiden. I likhet med utskottet tror jag, att vi böra gå in för vad Kungl. Maj:t har föreslagit, och därför, herr talman, ber jag att få yrka bifall will utskottets hemställan.</w:t>
      </w:r>
    </w:p>
    <w:p>
      <w:pPr>
        <w:pStyle w:val="Heading2"/>
      </w:pPr>
      <w:r>
        <w:t>4. Nils Johansson (Lantmanna- och borgarepartiet inom andrakammaren, man)</w:t>
      </w:r>
    </w:p>
    <w:p>
      <w:r>
        <w:rPr>
          <w:b w:val="0"/>
        </w:rPr>
        <w:t>Herr talman, ärade kammarledamöter! Då jag i utskottet deltagit i behandlingen av denna fråga men icke haft tillfälle närvara, då justeringen ägde rum, vill jag härmed för kammarens ledamöter</w:t>
        <w:br/>
        <w:br/>
        <w:t xml:space="preserve">tillkännagiva, att jag helt och hållet ansluter mig till den av herr Edward Larson m. fl. avgivna reservationen. Jag gör det därför att jag med den erfarenhet, jag har som rätt gammal nämndeman — jag har suttit som nämndeman 1 27 år — kan intyga, att vid en häradsrätt kunna vid många tillfällen förekomma mål, i vilka det särskilt för mycket unga domhavande kan vara rätt svårt att leta fram sanningen. I synnerhet skulle det ofta vara mycket obehagligt för en ung </w:t>
      </w:r>
      <w:r>
        <w:rPr>
          <w:b/>
        </w:rPr>
        <w:t>kvinna¹</w:t>
      </w:r>
      <w:r>
        <w:rPr>
          <w:b w:val="0"/>
        </w:rPr>
        <w:t xml:space="preserve"> — enligt utskottsförslaget skulle ju en </w:t>
      </w:r>
      <w:r>
        <w:rPr>
          <w:b/>
        </w:rPr>
        <w:t>kvinna¹</w:t>
      </w:r>
      <w:r>
        <w:rPr>
          <w:b w:val="0"/>
        </w:rPr>
        <w:t xml:space="preserve"> på 23—26 års ålder få vara ordförande i häradsrätt — att sitta och reda ut förhållandena i ett sedlighetsmål eller låt oss bara säga ett barnuppfostringsmål. Många gånger förekommer det situationer, som äro så pass svåra, att — jag är fullt förvissad därom — det gudskelov icke torde finnas många </w:t>
      </w:r>
      <w:r>
        <w:rPr>
          <w:b/>
        </w:rPr>
        <w:t>kvinnor¹</w:t>
      </w:r>
      <w:r>
        <w:rPr>
          <w:b w:val="0"/>
        </w:rPr>
        <w:t xml:space="preserve">, som, för att begagna herr af Ekenstams uttryckssätt, äro så »barkade», att de skulle vara ägnade och ha förmåga att leta ut sanningen från vederbörande part. Därför är jag fullt och fast övertygad om, att, om </w:t>
      </w:r>
      <w:r>
        <w:rPr>
          <w:b/>
        </w:rPr>
        <w:t>kvinnor¹</w:t>
      </w:r>
      <w:r>
        <w:rPr>
          <w:b w:val="0"/>
        </w:rPr>
        <w:t xml:space="preserve"> vid dessa unga år skulle få domarförordnande, i vilket tingslag det än månde vara, det helt oförmodat (kanske i de mest sedliga tingslag och där det funnes ett mycket stort antal personer, som omfattade de nya idéerna) skulle kunna inför domstol dragas' förhållanden, som vore så pass obehagliga att reda ut, att icke gärna någon </w:t>
      </w:r>
      <w:r>
        <w:rPr>
          <w:b/>
        </w:rPr>
        <w:t>kvinnlig¹</w:t>
      </w:r>
      <w:r>
        <w:rPr>
          <w:b w:val="0"/>
        </w:rPr>
        <w:t xml:space="preserve"> jurist skulle vara tillräckligt »barkad» för att kunna leta ut sanningen. Genom en bristfällig handläggning av dylika mål från </w:t>
      </w:r>
      <w:r>
        <w:rPr>
          <w:b/>
        </w:rPr>
        <w:t>kvinnliga¹</w:t>
      </w:r>
      <w:r>
        <w:rPr>
          <w:b w:val="0"/>
        </w:rPr>
        <w:t xml:space="preserve"> juristers sida skulle, enligt min uppfattning, aktningen för lag och rätt och rättsskipning komma att lida i väsentlig grad. Därför kan jag icke annat än på det allra hjärtligaste ansluta mig till den mening, som av herrar reservanter gjorts gällande.</w:t>
        <w:br/>
        <w:br/>
        <w:t>Jag skulle kunna tillägga en hel del ytterligare. men, såsom den siste ärade talaren yttrade, tiden lider, och vi se gärna att förhandlingarna taga slut så fort som möjligt. Jag skall därför nöja mig med det sagda och inskränka mig till att på anförda skäl instämma med det yrkande, som här gjorts av herr af Ekenstam.</w:t>
        <w:br/>
        <w:br/>
        <w:t>större enskilda jordägares mark bilda nya jordbruk, måtte upptagas till behandling och föranleda en proposition till riksdagen.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1666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