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1681</w:t>
      </w:r>
    </w:p>
    <w:p>
      <w:r>
        <w:rPr>
          <w:b/>
        </w:rPr>
        <w:t xml:space="preserve">Datum: </w:t>
      </w:r>
      <w:r>
        <w:t>1926-03-17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Agda Östlund (Socialdemokraterna, woman)</w:t>
      </w:r>
    </w:p>
    <w:p>
      <w:r>
        <w:rPr>
          <w:b w:val="0"/>
        </w:rPr>
        <w:t xml:space="preserve">Herr talman! Då jag har anmält mig som reservant till första lagutskottets utlåtande nr 16 har det närmast varit därför att jag av en händelse kommit att få kännedom om att det någon gång kan hända, att av Kungl. Maj:t meddelad dispens till </w:t>
      </w:r>
      <w:r>
        <w:rPr>
          <w:b/>
        </w:rPr>
        <w:t>kvinna¹</w:t>
      </w:r>
      <w:r>
        <w:rPr>
          <w:b w:val="0"/>
        </w:rPr>
        <w:t xml:space="preserve"> söka klockarbefattning kan komma den sökande tillhanda mycket för sent, ja t. o. m. efter ansökningstidens utgång, till avsedd befattning. Jag gjorde några förfrågningar i departementet och fick höra, att det icke skulle taga så lång tid med att bevilja dessa dispenser. Men icke förty så fick åtminstone den av mig nu åsyftade, en folkskollärarinna, vänta i över 3 månader på att erhålla vetskap om, att </w:t>
      </w:r>
      <w:r>
        <w:rPr>
          <w:b/>
        </w:rPr>
        <w:t>hon²</w:t>
      </w:r>
      <w:r>
        <w:rPr>
          <w:b w:val="0"/>
        </w:rPr>
        <w:t xml:space="preserve"> erhållit den dispens, som skulle ge </w:t>
      </w:r>
      <w:r>
        <w:rPr>
          <w:b/>
        </w:rPr>
        <w:t>henne²</w:t>
      </w:r>
      <w:r>
        <w:rPr>
          <w:b w:val="0"/>
        </w:rPr>
        <w:t xml:space="preserve"> rätt att söka en viss klockarbefattning.</w:t>
        <w:br/>
        <w:br/>
        <w:t xml:space="preserve">De skäl, som första lagutskottet anfört till stöd för sitt avslagsyrkande, skulle, förefaller det mig i lika hög grad kunna användas som skäl för att nu bifalla motionen. Det framgår av utskottets utredning att denna fråga har varit föremål för riksdagens behandling många gånger och framför allt visar den oss, att </w:t>
      </w:r>
      <w:r>
        <w:rPr>
          <w:b/>
        </w:rPr>
        <w:t>kvinnas¹</w:t>
      </w:r>
      <w:r>
        <w:rPr>
          <w:b w:val="0"/>
        </w:rPr>
        <w:t xml:space="preserve"> rätt att erhålla organistbefattning har förefunnits i ett 60-tal år. När nu utskottet yrkar avslag på förslaget, att </w:t>
      </w:r>
      <w:r>
        <w:rPr>
          <w:b/>
        </w:rPr>
        <w:t>kvinna¹</w:t>
      </w:r>
      <w:r>
        <w:rPr>
          <w:b w:val="0"/>
        </w:rPr>
        <w:t xml:space="preserve"> skall få rätt att söka och inneha klockarbefattning, tycker jag nästan att det är overkligt, att man står och talar inför 1926 års riksdag. Jag har snarare en illusion av, att vi befinna oss kvar före den tid, då vi började skriva 1900. Ty sista gången som denna fråga blev avslagen i riksdagen, var 1892. Men frågan avslogs icke därför, att man ansåg </w:t>
      </w:r>
      <w:r>
        <w:rPr>
          <w:b/>
        </w:rPr>
        <w:t>kvinnan¹</w:t>
      </w:r>
      <w:r>
        <w:rPr>
          <w:b w:val="0"/>
        </w:rPr>
        <w:t xml:space="preserve"> mindre befogad eller kompetent att erhålla klockarbefattning, eller att frågan var särdeles invecklad utan därför, att Kungl. Maj:t hade denna rätt att giva dispens. Frågan återkom 1910, och då bifölls förslaget om skrivelse till Kungl. Maj:t rörande rätt för </w:t>
      </w:r>
      <w:r>
        <w:rPr>
          <w:b/>
        </w:rPr>
        <w:t>kvinna¹</w:t>
      </w:r>
      <w:r>
        <w:rPr>
          <w:b w:val="0"/>
        </w:rPr>
        <w:t xml:space="preserve"> att söka och inneha klockarbefattning av ett enhälligt utskott och av både första och andra kammaren utan debatt. Då tycker jag, att det verkar litet egendomligt, att man nu skall få lov att försvara en sak, som redan 1910 ansågs så självklar.</w:t>
        <w:br/>
        <w:br/>
        <w:t>Jag har gjort ett försök att taga reda på, vilka uppgifter, som medfölja en klockarsyssla. Det är oklart sägs det, vilka dessa äro, och det är kanske inte så underligt, därför att bestämmelserna äro av mycket, mycket ålderdomligt datum. Det finnes bestämmelser, som kanske ännu hägra i människors medvetanden, när det gäller klockarbefattning, som härröra sig från 1775. Men redan 1861 upphävdes en del av dessa uppgifter, som klockaren hade. Han skulle ju enligt tidigare bestämmelser sörja för klämtning och ringning, han skulle på behöriga tider ställa klockorna, han skulle bära kyrkoherdens brev på posten och följa med på sockenbud o. s. v. Men den ena efter den andra av dessa stadganden äro verkligen redan genom lag upphävda, och det finnes nästan icke stort mera kvar av hela klockarbefattningen annat än bara namnet.</w:t>
        <w:br/>
        <w:br/>
        <w:t xml:space="preserve">Herr Lindhagen anförde i sin motion 1910, närmast med samma yrkande som denna motion, följande: »Emellertid har Kungl. Maj:t plägat på ansökan meddela </w:t>
      </w:r>
      <w:r>
        <w:rPr>
          <w:b/>
        </w:rPr>
        <w:t>kvinna¹</w:t>
      </w:r>
      <w:r>
        <w:rPr>
          <w:b w:val="0"/>
        </w:rPr>
        <w:t xml:space="preserve"> dispens att söka sådan syssla, dock vanligen endast i viss församling, någon gång för ett helt stift.»</w:t>
        <w:br/>
        <w:br/>
        <w:t xml:space="preserve">Detta var 1910. Nu vittnar utskottet i sitt utlåtande, att numera bliva, såsom också statistiken visar, nästan undantagslöst av </w:t>
      </w:r>
      <w:r>
        <w:rPr>
          <w:b/>
        </w:rPr>
        <w:t>kvinnor¹</w:t>
      </w:r>
      <w:r>
        <w:rPr>
          <w:b w:val="0"/>
        </w:rPr>
        <w:t xml:space="preserve"> gjorda ansökpingar om dispens att söka och innehava klockarbefattning bifallna av Kungl. Maj:t. Detta visar i alla fall att förbudet mot att </w:t>
      </w:r>
      <w:r>
        <w:rPr>
          <w:b/>
        </w:rPr>
        <w:t>kvinnor¹</w:t>
      </w:r>
      <w:r>
        <w:rPr>
          <w:b w:val="0"/>
        </w:rPr>
        <w:t xml:space="preserve"> skola kunna söka och innehava klockarbefattning kan anses ha överlevat sig självt, och därför</w:t>
        <w:br/>
        <w:br/>
        <w:t>förefaller det mig, som om både praxis och beskaffenheten av de med klockarbefattning förenade göromål talade för ett bifall till motionen. Herr talman, jag ber att få yrka bifall till reservationen.</w:t>
      </w:r>
    </w:p>
    <w:p>
      <w:pPr>
        <w:pStyle w:val="Heading2"/>
      </w:pPr>
      <w:r>
        <w:t>2. Henning Leo (Socialdemokraterna, man)</w:t>
      </w:r>
    </w:p>
    <w:p>
      <w:r>
        <w:rPr>
          <w:b w:val="0"/>
        </w:rPr>
        <w:t xml:space="preserve">Herr talman! Utskottet har, som kammaren finner, kostat på sig en lång utredning i denna annars skäligen bagatellartade fråga. Men anledningen till, att utlåtandet har svällt ut på det sättet, är, att utskottet icke kunnat på ett enkelt och klart sätt tala om, vad som överhuvud taget menas med klockarbefattning f. n., eller vad en klockare har att göra. Det var dock en sak, som vi inom utskottet måste söka klargöra, då vi ställdes inför frågan, huruvida </w:t>
      </w:r>
      <w:r>
        <w:rPr>
          <w:b/>
        </w:rPr>
        <w:t>kvinnor¹</w:t>
      </w:r>
      <w:r>
        <w:rPr>
          <w:b w:val="0"/>
        </w:rPr>
        <w:t xml:space="preserve"> skulle få generell rätt att söka dessa befattningar. Men vi blevo bet inför den frågan och ha icke kunnat göra annat än angiva för riksdagen alla de bestämmelser eller åtminstone det mesta av de bestämmelser, som gälla, för att kammaren själv må kunna bilda sig en uppfattning. Det är emellertid ett av de skäl, som bestämt utskottets ståndpunkt, nämligen att vi icke kunna avgöra vad som, strängt taget, menas med klockarbefattning, och vilka åligganden som åtfölja dessa befattningar. Redan av det skälet ha vi ansett, att man icke bör tillmötesgå motionen i fråga. Men dessutom är det så, att frågan om nyorganisation av klockarinstitutionen är under utredning. Det var ju förslag före vid 1921 års riksdag, som då blev avvisat, men frågan om </w:t>
      </w:r>
      <w:r>
        <w:rPr>
          <w:b/>
        </w:rPr>
        <w:t>kvinnas¹</w:t>
      </w:r>
      <w:r>
        <w:rPr>
          <w:b w:val="0"/>
        </w:rPr>
        <w:t xml:space="preserve"> behörighet till klockartjänst kommer nog förr eller senare upp till prövning i ett större sammanhang, och då har man bättre tillfälle att bedöma hela saken.</w:t>
        <w:br/>
        <w:br/>
        <w:t xml:space="preserve">Vidare har utskottet måst säga sig, att det är ingen brådska med saken. Det är nämligen så, att de </w:t>
      </w:r>
      <w:r>
        <w:rPr>
          <w:b/>
        </w:rPr>
        <w:t>kvinnor¹</w:t>
      </w:r>
      <w:r>
        <w:rPr>
          <w:b w:val="0"/>
        </w:rPr>
        <w:t>, som ha lust att bli klockare och göra ansökan därom, få så gott som undantagslöst dispens och rätt att söka klockarbefattning. Under sådana förhållanden har det synts utskottet icke alls föreligga något trängande behov av att tillmötesgå motionärerna men däremot många goda skäl för att avvakta den utredning i saken, som Kungl. Maj:t väl joke kan undgå att göra, och därigenom få frågan prövad i ett större samman-</w:t>
        <w:br/>
        <w:br/>
        <w:t>Herr talman, jag ber att få yrka bifall till utskottets hemställan.</w:t>
      </w:r>
    </w:p>
    <w:p>
      <w:pPr>
        <w:pStyle w:val="Heading2"/>
      </w:pPr>
      <w:r>
        <w:t>3. Agda Östlund (Socialdemokraterna, woman)</w:t>
      </w:r>
    </w:p>
    <w:p>
      <w:r>
        <w:rPr>
          <w:b w:val="0"/>
        </w:rPr>
        <w:t xml:space="preserve">Herr talman! J ag skall endast be att få säga, då herr Leo kanske anser, att denna fråga icke är så stor, därför att det icke är så många </w:t>
      </w:r>
      <w:r>
        <w:rPr>
          <w:b/>
        </w:rPr>
        <w:t>kvinnor¹</w:t>
      </w:r>
      <w:r>
        <w:rPr>
          <w:b w:val="0"/>
        </w:rPr>
        <w:t>, som söka dylik befattning, och att de, som söka, kunna få dispens, det Jag tycker att om det är endast en människa, som kämpar för sin rätt, så är frågan tillräckligt stor, för att den skall kunna få komma under saklig behandling.</w:t>
        <w:br/>
        <w:br/>
        <w:t>Är gäldbunden man död, och haver någon försträckt penningar, eller varor, till hans begravning; det skall först gäldas, sedan det gods avskilt är, som förr är sagt. Därnäst den kostnad, som å egendomens uppteckning skäligen gjord är, sedan läkarelön, läkedom och föda under den dödas sista sjukdom, deras arvode, som honom däri skött hava, så ock borgenärs kostnad för gäldenärens försättande i konkurs, betjänters och tjänstehjons lön för sista året, annan arbetares dagspenning eller avlöning, den där ej stått inne längre än sex månader efter förfallodagen, samt sådan begravningshjälp eller för de tre sista månaderna upplupen sjukhjälp eller livränta, som det enligt lag angående ersättning för skada till följd av olycksfall i arbete åligger gäldenären att utgiva. Vad nu är stadgat om förmånsrätt för arbetares avlöning äge ock tillämpning i avseende å skadestånd, som i händelse av obehörigt avskedande eller arbetsavtals hävande må tillkomma arbetaren i stället för avlöning, som skulle med förmånsrätt utgått. Innestår hos arbetsgivare viss del av arbetares lön till säkerhet för arbetarens fullgörande av sina skyldigheter, äge arbetaren för sålunda innestående lön enahanda förmånsrätt som nu angående arbetares avlöning är sagd, evad fordringen stått inne längre eller kortare tid.</w:t>
      </w:r>
    </w:p>
    <w:p>
      <w:pPr>
        <w:pStyle w:val="Heading2"/>
      </w:pPr>
      <w:r>
        <w:t>4. Birger Christenson (Lantmanna- och borgarepartiet inom andrakammaren, man)</w:t>
      </w:r>
    </w:p>
    <w:p>
      <w:r>
        <w:rPr>
          <w:b w:val="0"/>
        </w:rPr>
        <w:t>Herr förste vice talman, mina herrar! Då jag anslutit mig till en reservation till utskottets betänkande, avgiven av herr Hederstierna m. fl., skall jag be att få något närmare motivera min ställning till denna fråga.</w:t>
        <w:br/>
        <w:br/>
        <w:t>Det gäller här att i visst avseende utvidga den förmånsrätt, som avhandlas i 17 kap. 4 8 handelsbalken. Med förmånsrätt enligt detta lagrum utgår bland annat »betjänters och tjänstehjons lön för sista året, annan arbetares dagspenning eller avlöning, den där ej stått inne längre än tre månader efter förfallodagen».</w:t>
        <w:br/>
        <w:br/>
        <w:t>Nu går det här föreliggande förslaget ut på att öka ovannämnda tiden 3 månader till 6 månader. Reservanterna framhålla, att det i och för sig är mycket behjärtansvärt, att en arbetare kan ha trygghet för att få ut sin lön. Om denna sak kunde ordnas utan kollision med andra, viktiga intressen, skulle det icke heller vara något att erinra mot förslaget. Men här är det nu ett annat intresse, som kommer till, och som har mycket stor betydelse, nämligen hänsynen till fastighetskrediten. Det är så, att dessa förmånsrätter i 17 kapitlet 4 paragrafen handelsbalken, vilka gälla i all gäldenärens egendom, både lös och fast, höra till de s. k. tysta förmånsrätterna. Fordringarna i fråga komma icke på förhand till synes i några handlingar, de komma icke fram i något gravationsbevis. Den person, som vill belåna en inteckning, fäster sig i regel endast vid vad som står i gravationsbeviset. Han ser där, att det finns så och så många inteckningar, och att den inteckning, varom fråga är, kanske ligger i ganska skyddat läge, så att han anser sig kunna utan risk och tvekan belåna inteckningen. Då kan han senare finna, när en gång fastigheten kommer att exekutivt försäljas och hans inteckningsrätt skall tagas ut ur fastigheten att det ligger före hans inteckning en eller flera fordringar med sådan tyst förmånsrätt, och att på grund härav hans inteckning ej alls eller endast till en del kan erhålla betalning ur fastigheten, i åtskilliga fall har fordran för avlöningar bevakats och före inteckningar gått ut ur fastigheter med mycket stora belopp. Jag skall be att få lämna några exempel på dylika fall.</w:t>
        <w:br/>
        <w:br/>
        <w:t>I Örebro försåldes på exekutiv auktion för några år sedan 8 fastigheter, gemensamt taxerade tillsammans till omkring 100,000 kronor. Vid auktionen bevakades fordringar för innestående löner till belopp av över 42,000 kronor, således mer än 40 Z av hela fastighetsvärdet. En fastighet, som var taxerad till 30,000 kronor, såldes exekutivt för 26,000 kronor. Där utgick till löner med den förmånsrätt, som här är i fråga 8,807 kronor. En fastighet, som var taxerad till 12,000 kronor, såldes för 10,200 kronor. En sparbank, som belånat en inteckning inom halva taxeringsvärdet, således inom 6,000 kronor, gjorde på grund av fordringar med ifrågavarande förmånsrätter en förlust på 1,100 kronor. En skofabrikör, som försattes i konkurs, ägde tre fastigheter, som voro taxerade för tillhopa 8,900 kronor. Vid de exekutiva auktionerna å dessa fastigheter bevakades löner för 8,200 kronor. Vid en exekutiv auktion, som hölls förra året här i Stockholm, såldes en fastighet, som var taxerad för 95,000 kronor. Här bevakades löner till ett belopp av 31,995 kronor, därav för tjänstemän 4,926 kronor och återstoden för arbetare.</w:t>
        <w:br/>
        <w:br/>
        <w:t>Dessa exempel torde visa, att berörda förmånsrätt medför en allvarlig risk för en inteckningshavare, som kan göra avsevärda förluster, vilka han icke</w:t>
        <w:br/>
        <w:br/>
        <w:t>har möjlighet att på förhand bedöma. Då redan enligt nu gällande lag sådana fall kunna inträffa, är det ju uppenbart, att risken för förluster blir ännu större, om man skall utvidga tiden för här ifrågavarande förmånsrätt till det dubbla eller från 3 månader till 6 månader. Det är givet, att en sådan förmånsrätt är ägnad att i ganska hög grad rubba förtroendet för inteckningar, och att den därigenom kan medföra stora olägenheter för den allmänna byggnadsverksamheten och kanske särskilt för egnahemsbebyggandet. Ty det är ju klart, att risken för förlust på grund av dylik förmånsrätt blir större, när det är fråga om små än när det gäller stora fastigheter.</w:t>
        <w:br/>
        <w:br/>
        <w:t>I de yttranden, som avgivits i detta ärende, har, efter min uppfattning, icke lämnats ett alltför starkt stöd för en lagändring på denna punkt. Det är visserligen sant, att ungefär halva antalet länsstyrelser tillstyrkt förslaget. Därvid ha flera till och med gått ännu längre än det föreliggande lagförslaget, i det att de velat gå in för en utsträckning av förmånsrättstiden till ett år, men anledningen härtill torde i allmänhet ha varit den, att de velat göra kategorien »annan arbetare» likställd med kategorien »tjänstehjon och betjänter», i ändamål att undanröja tvister angående frågan, huruvida en anställd är att hänföra till den ena eller andra kategorien. Av dessa tillstyrkande yttranden, såvitt de återgivits i propositionen, framgår i regel icke, om vederbörande myndigheter ägnat frågan om den inverkan, som en utvidgning av förmånsrättstiden kunde komma att medföra för fastighetskrediten, någon nämnvärd uppmärksamhet. Ungefär halva antalet länsstyrelser ha emellertid förklarat sig icke kunna tillstyrka förslaget. Därvid har i åtskilliga fall framhållits, att något större behov av en lagändring på denna punkt icke kan anses föreligga, då ju arbetarnas avlöning i allmänhet utbetalas på betydligt kortare tid än den tid av 3 månader, för vilken tid redan nu förmånsrätt förefinnes. VWVidare ha i flera av dessa utlåtanden åberopats just hänsynen till den viktiga fastighetskrediten. Flertalet handelskammare, järnkontoret m. fl. myndigheter ha likaledes avstyrkt förslaget. Socialstyrelsen har visserligen tillstyrkt men har ifrågasatt förmånsrättens begränsning — i vad avser fastighet — till sådana fastigheter, som utnyttjas för driften av det företag, vari arbetarnas lönefordran uppkommit. Det är nämligen så, -att det för närvarande icke finnes någon begränsning med avseende å de fastigheter, i vilka förmånsrätt kan komma att åtnjutas. Om en person, som driver sågverksrörelse i Norrland, händelsevis Jämväl äger en fastighet i Malmö, finns det icke något kinder för, att arbetare och tjänstemän vid detta sågverk bevaka lönefordringar till stora belopp vid en eventuell exekutiv försäljning av fastigheten i Malmö, varvid åtskilliga inteckningshavares rätt och intressen kunna råka i fara. Detta har, som redan nämnts, påpekats av socialstyrelsen, som också ifrågasatt begränsning av förmånsrätten i förut angivna avseende.</w:t>
        <w:br/>
        <w:br/>
        <w:t>Kommerskollegium har avstyrkt den ifrågasatta utvidgningen av förmånsrätten under förklaring, att den icke kan äga någon verklig betydelse för arbetare utan fast anställning, då ju avlöningarna till dessa arbetare utbetalas för vecka eller 14 dagar, allra högst månadsvis. Kommerskollegium tillstyrker därför bibehållande av den nuvarande förmånsrättstiden 3 månader, men vill däremot skydda dessa fordringar på sådant sätt, att fordringen icke skulle behöva vara förfallen till betalning inom kortare tid än ett år före konkursens början. Enligt nuvarande bestämmelser får förfallotiden icke räknas längre tillbaka än 3 månader före konkursen.</w:t>
        <w:br/>
        <w:br/>
        <w:t>Svenska sparbanksföreningen har avgivit ett mycket anmärkningsvärt uttalande, där den på det bestämdaste avråder från en sådan lagstiftning, som den här ifrågasatta. Den framhåller, att det särskilt för sparbankerna, som hava hand om småfolkets pengar, är av stor vikt, att vid kreditgivning gå fram med allra största försiktighet. Men om det kan inträffa sådana fall,</w:t>
        <w:br/>
        <w:br/>
        <w:t>att man på inteckningar, som man anser vara fullkomligt säkra, kan komma Ang. arbetares att lida en avsevärd förlust, kan det ifrågasättas om icke den försiktighet, fömånsrått i o mn : 3 ES arbetsqivares</w:t>
        <w:br/>
        <w:br/>
        <w:t>som sparbankerna måste iakttaga, kan föranleda till, att det måste uppställas konkurs. andra och strängare villkor för beviljande av inteckningslån t. ex. borgen eller — (Forts.) andra garantier såsom skydd för förluster i dylika fall.</w:t>
        <w:br/>
        <w:br/>
        <w:t>Herr talman, denna fråga är icke alls någon partifråga utan en praktisk fråga av mycket stor betydelse, och jag är för min del övertygad om att ett bifall till Kungl. Maj:ts förslag skulle kunna föranleda skador och olägenheter, som skulle vara vida större än de fördelar, som förslaget i ett relativt begränsat antal fall skulle kunna medföra. Utskottet erkänner ju självt, att det endast är i ett jämförelsevis begränsat antal fall, som den nuvarande bestämmelsen icke är tillräcklig. På grund härav ber jag, herr talman, att få yrka bifall</w:t>
        <w:br/>
        <w:br/>
        <w:t xml:space="preserve">I detta anförande instämde herrar Nilsson i Antnäs, Bengtsson i Kullen, Järte och Forssel samt </w:t>
      </w:r>
      <w:r>
        <w:rPr>
          <w:b/>
        </w:rPr>
        <w:t>fröken²</w:t>
      </w:r>
      <w:r>
        <w:rPr>
          <w:b w:val="0"/>
        </w:rPr>
        <w:t xml:space="preserve"> Wellin.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