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1704</w:t>
      </w:r>
    </w:p>
    <w:p>
      <w:r>
        <w:rPr>
          <w:b/>
        </w:rPr>
        <w:t xml:space="preserve">Datum: </w:t>
      </w:r>
      <w:r>
        <w:t>1926-05-28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Adolf Björkman (Första kammarens nationella parti, man)</w:t>
      </w:r>
    </w:p>
    <w:p>
      <w:r>
        <w:rPr>
          <w:b w:val="0"/>
        </w:rPr>
        <w:t>Herr talman! Då jag nu uppträder i denna fråga för att deklarera, att jag intar en annan ståndpunkt än den siste ärade talaren, så ligger häri kanske också ett bevis för att denna fråga icke är någon partifråga. Det är ju från olika partier, som skilda uppfattningar i frågan framkomma.</w:t>
        <w:br/>
        <w:br/>
        <w:t>Det har förefallit mig, som om det i många fall, icke minst på landet, visat sig, att avlöningsförmånerna för lärarna äro väl knappt avvägda 1 förhållande till närmast motsvarande statstjänster. Nu föreligger ju ett kommittéförslag på detta område, men det förslaget har Kungl. Maj:t låtit ligga. Det olyckliga med detta kommittéförslag, olyckligt särskilt för folkskollärarna själva, är, att det bygger på kommunikationsverkens lönereglering, och denna lönereglering kan aldrig bli någon fast grund för lärarnas lönereglering. Ty det kunna folkskollärarna vara förvissade om, att om man icke i fortsättningen slutar upp med att bygga på kommunikationsverkens lönereglering, så blir också folkskollärarnas lönereglering uppskjuten år efter år. Ett envist fasthållande härvidlag är således det största hindret för att folkskollärarnas löneregleringsfråga skall kunna lösas.</w:t>
        <w:br/>
        <w:br/>
        <w:t xml:space="preserve">Jag vill särskilt betona, att, när jag för min del anser det önskvärt, att det blir en utredning, en utredning som kan göra, att den orättvisa, som man kan anse ligga i folkskollärarnas nuvarande löneställning undanröjes, så förutsätter jag, att det i utredningen ingår undersökning av vissa andrahandsfrågor, kan man säga, som statsutskottet också pekat på, och vilka frågor, om de icke bli lösta i en riktning, som kanske går emot vad som i den särskilda frågan är ett folkskollärarkrav, i själva verket blir för den stora frågan till en betydande nackdel. Sålunda säger den allmänna opinionen, att det kan vara vissa anmärkningar att göra i fråga om lärarnas tjänstgöringstid, och vidare har man från många håll haft mycket att säga beträffande gifta </w:t>
      </w:r>
      <w:r>
        <w:rPr>
          <w:b/>
        </w:rPr>
        <w:t>lärarinnors³</w:t>
      </w:r>
      <w:r>
        <w:rPr>
          <w:b w:val="0"/>
        </w:rPr>
        <w:t xml:space="preserve"> naturaförmåner o. s. v. Det finnes säkert åtskilligt, som därvidlag kan göras såsom en motvikt till en allmän lönereglering. Det vore lyckligt, om så skedde, och då skulle det säkerligen lättare vinnas förståelse för den allmänna regleringen till lärarkårens fromma. Derna utredning lärer väl kunna ske relativt fort, och den takt, som statsutskottet i detta fall angivit, synes vara alldeles tillräcklig. Jag vill därför nöja mig med att yrka bifall till statsutskottets förslag.</w:t>
      </w:r>
    </w:p>
    <w:p>
      <w:pPr>
        <w:pStyle w:val="Heading2"/>
      </w:pPr>
      <w:r>
        <w:t>2. Cornelius Olsson (Lantmannapartiet, man)</w:t>
      </w:r>
    </w:p>
    <w:p>
      <w:r>
        <w:rPr>
          <w:b w:val="0"/>
        </w:rPr>
        <w:t>Herr talman! Det är ju så, att för dessa lärare har det länge varit ställt i utsikt, att de skulle få någon löneförbättring, och man kan ju säga, att det givits dem ett löfte härom. Ett givet löfte bör ju hållas så vitt möjligt är, d. v. s. så vitt den som givit detsamma. ej blir urståndsatt att hålla det. Nu är ju ställningen sådan i fråga om statens finanser, att man för denna riksdag icke kan gå motionärerna till mötes, men det förslag, som statsutskottet i sitt utlåtande gör, synes mig peka åt det rätta hållet att lösa denna fråga. |</w:t>
        <w:br/>
        <w:br/>
        <w:t>Man kan, ju se frågan från flera sidor. Dels behöva vi ju så väl spara, och därför tycka vi, att vi svårligen kunna gå med på en höjning av dessa löner, som går löst på flera miljoner, och dels har det ju nu blivit stor tillgång på lärare, av vilka många skulle vara glada, om de finge anställning med den avlöning som nu är. Men å andra sidan finnes det nog också skäl att infria löftet om höjning. För min del ser jag denna lönefråga i någon mån individuellt, fastän den ju ingalunda kan lösas helt efter sådana riktlinjer. Dels är det så, att det är en stor skillnad mellan lärarlönerna på landsbygden och i städerna, och dels är det stor skillnad på huru de olika befattningshavarna sköta sin tjänst.</w:t>
        <w:br/>
        <w:br/>
        <w:t>Jag vill visst icke sätta någon fläck på Sveriges folkskollärarkår, men det är ju så inom den kåren som inom andra kårer, att många sköta eller förestå sin befattning väl, andra mindre väl. Den erfarenheten jag har från det</w:t>
        <w:br/>
        <w:br/>
        <w:t xml:space="preserve">län jag tillhör, är den — det vill jag tacksamt erkänna — att de allra flesta lärare och </w:t>
      </w:r>
      <w:r>
        <w:rPr>
          <w:b/>
        </w:rPr>
        <w:t>lärarinnor³</w:t>
      </w:r>
      <w:r>
        <w:rPr>
          <w:b w:val="0"/>
        </w:rPr>
        <w:t xml:space="preserve"> sköta sin tjänst på ett utmärkt plikttroget och förtjänstfullt sätt, och för deras skull, som nedlägga ett nitiskt och gott arbete för att Sveriges barn 'skola få en god kunskap uti de ämnen, som för dem äro allra nödvändigast att lära, vill jag vara med om, att en löneförbättring snart kommer till stånd.</w:t>
        <w:br/>
        <w:br/>
        <w:t>På grund av dessa skäl, ber jag, herr talman, att få yrka bifall till utskottets förslag.</w:t>
      </w:r>
    </w:p>
    <w:p>
      <w:pPr>
        <w:pStyle w:val="Heading2"/>
      </w:pPr>
      <w:r>
        <w:t>3. Värner Ryden (Socialdemokraterna, man)</w:t>
      </w:r>
    </w:p>
    <w:p>
      <w:r>
        <w:rPr>
          <w:b w:val="0"/>
        </w:rPr>
        <w:t>Herr talman! Det är ett verkligt olycksöde, som vilar över hela denna fråga. Det har ju alltid kommit att gestalta sig så, att lärarna — det har gällt alla lärargrupper — alltid kommit sist i en löneregleringsperiod. Man har alltid börjat med andra tjänstemän, antingen med de centrala verken eller, som nu på senare tiden, med kommunikationsverken. Med dessa verk har man inlett löneregleringsperioderna, och lärarna ha alltid kommit sist och efter lång väntan; så ock i fråga om 1918 års lönereglering. Då denna sent omsider framlades, kom den i slutet av den stora löneregleringsperiod, som inleddes 1907 med de centrala verken och kommunikationsverken. Följden blev, att samtliga lärarlöner kommo att vila på en prisnivå, som gällde före världskriget. Lärarnas lönereglering utgick därför icke alls från samma utgångsläge, som de därefter kommande löneregleringarna. Påföljande året, 1919, efter det lärarna fått sina löner reglerade som slut på den löneregleringsperioden, jag nyss nämnde, inleddes en ny löneregleringsperiod, som vi alla känna till, med kommunikationsverken, och denna löneregleringsperiod har sedan alltjämt fortsatt.</w:t>
        <w:br/>
        <w:br/>
        <w:t>Jag vet mycket väl efter många, många samtal med allas vår högt värderade och avhållne vän Thorsson, att hans avsikt var, när han inledde denna löneregleringsperiod för kommunikationsverken, att söka skapa ett enhetligt lönesystem för alla, som voro anställda i det allmännas tjänst, och över vilkas löner staten hade att bestämma. Hans mening var att börja med kommunikationsverken, fortsätta med de centrala verken, och sedan taga de olika lärargrupperna. Men under det de andra tjänstemannagrupperna fingo sitt, innan den svåraste tiden inträdde, så hunno däremot lärarkårerna icke med, och detta har gjort, att deras löner, som Jag nyss nämnde, äro reglerade från ett helt annat och lägre utgångsläge än vad som gäller för statstjänarna. Och vad beträffar den största lärargruppen, den där det kostar så mycket att bevilja det allra minsta, så har det gått så illa, att denna kår icke ens fått en tillfällig löneförbättring, vilket läroverkslärarna och med dem jämställda kunnat få. Detta gör, att folkskollärarna känna sig mycket hårt och orättvist behandlade. De kunna rimligtvis icke se saken på det sättet, att därför att det kostar så mycket att göra en rättvis lönereglering för dem, så skola de ställas i en mycket sämre ställning än med dem jämförliga tjänstemän i statens tjänst, och så har denna bittra stämning uppstått, som jag, och jag tror många av kamraterna i kammaren, på varjehanda sätt fått bevis på.</w:t>
        <w:br/>
        <w:br/>
        <w:t>Nu väcktes i fjol en motion om tillfällig löneförbättring; man hade nämligen ansett, att tiderna icke voro sådana, att det vore möjligt att få en definitiv lönereglering, såvitt icke Kungl. Maj:t lade fram förslag härom. Beträffande denna motion skrev statsutskottet, att det fann motionen beaktansvärd, men att det av statsfinansiella skäl och då Kungl. Maj:t icke lagt fram förslag härom icke kunde göras något däråt.</w:t>
        <w:br/>
        <w:br/>
        <w:t>Då motionen kom tillbaka i år, stod saken så till i statsutskottet, att en fraktion ville av finansiella skäl avstyrka helt och hållet. men med välvilligare motivering än i fjol, och en annan ansåg, att man borde söka få till stånd ett positivt beslut av riksdagen i år. Då frågan kom till behandling in pleno i</w:t>
        <w:br/>
        <w:br/>
        <w:t>statsutskottet, gjorde sig på skilda håll en stark stämning gällande för att man borde söka få en skrivelse i denna sak till stånd och därigenom få något positivt uträttat 1 år. Det är ju i och för sig en mycket ovanlig åtgärd, som utskottet föreslagit här. Det föreligger en motion om tillfällig löneförbättring, och utskottet svarar med att föreslå skrivelse till Kungl Maj:t och begära en definitiv lönereglering. Grundlagsenligt kan statsutskottet göra detta; och om viktiga statsskäl ligga till grund för ett sådant förslag, är det förklarligt, att åtgärden vidtages. Emellertid blev det så, att när denna skrivelse, som statsutskottets stora flertal ville ha till stånd, skulle utformas, gick majoriteten på sådana linjer, att jag och de som tänka lika med mig i denna fråga, icke ansägo oss kunna följa med längre. Jag syftar på vissa av de direktiv, som angiv as 1 utskottsmajoritetens hemställan och som måste komma att medföra, såvitt jag kan bedöma, att folkskollärarnas lönefråga kommer att kastas ut i det stora ovissa. Utskottets direktiv innebära helt enkelt, att man drager ett streck över det väsentliga av det stora betänkande, som utarbetats av lärarlöneregleringskommittén för folkskolornas vidkommande. Man förklarar, att den löneplacering som gjorts är för hög, och följaktligen skall hela denna fråga tagas upp igen. — Jag skall säga ett par ord om det sedan.</w:t>
        <w:br/>
        <w:br/>
        <w:t>Vidare anser utskottet, att man nu bör taga upp frågan om dyrtidstilläggen och undersöka, om icke dessa böra inarbetas i lönerna. Märkvärdigt nog börjar man icke härmed för de tjänstemän, som fått sina löner reglerade efter de nya principerna, utan man ifrågasätter, att det skall göras en dylik utredning för den enda stora tjänstemannagrupp, som icke kommit in i det nya lönesystemet och följaktligen ej heller fått sina löner reglerade efter den nya prisnivån. Det är klart, att frågan om att inarbeta dyrtidstilläggen i lönerna icke utan den största orättvisa kan lösas separat för en grupp, och dessutom är det väl ändå uppoch nedvända världen att börja med just den grupp, som icke kommit in 1 det nya lönesystemet. Skall den frågan tagas upp, och jag tror, att förr eller senare måste så ske, låt oss då i all rimlighets namn börja med alla dem, som redan kommit in under de nya löneprinciperna, men icke med dem, som aldrig kommit dit!</w:t>
        <w:br/>
        <w:br/>
        <w:t xml:space="preserve">Vad beträffar statsutskottets yttrande att löneplaceringen är för hög, skulle jag också vilja säga några allvarsord. Jag gör det från de utgångspunkter, som kommittén hade i enlighet med sina direktiv, och utgår således ifrån, att folkskollärarna vid löneplaceringen skola jämföras med statstjänstemän. Jag vill då påpeka, att inom lärarnas löneregleringskommitté, som bestod av personer med olika åskådning, icke rådde någon meningsskiljaktighet därom, att folkskollärarna borde placeras åtminstone i jämnbredd med t. ex. de förutvarande första postexpeditörerna. Jag hävdar på det bestämdaste, att man gör sig skyldig till en orättvisa, om man anser, att sådana tjänstemän som de nyss nämnda, av vilka man fordrar realskoleexamen och en postelevkurs, skola stå över folkskollärarna, som få kosta på sig en mycket dyrbar utbildning. Jag gjorde en undersökning år 1921 om folkskollärarnas studiekostnader och studieskulder och denna utvisade, att de manliga folkskollärarna i allmänhet åsamkat sig en studieskuld på mellan åtta och niotusen kronor, de </w:t>
      </w:r>
      <w:r>
        <w:rPr>
          <w:b/>
        </w:rPr>
        <w:t>kvinnliga¹</w:t>
      </w:r>
      <w:r>
        <w:rPr>
          <w:b w:val="0"/>
        </w:rPr>
        <w:t xml:space="preserve"> något mindre. Det har även i år gjorts en undersökning beträffande de elever, som i dessa dagar taga sin examen vid folkskoleseminarierna, och enligt de upplysningar de lämnat sina rektorer, skulle deras studieskulder kunna beräknas till sex å åtta tusen kronor i genomsnitt för varje elev. Folkskollärarna ha numera en dyrbar utbildning. Då frågar jag: Är det rättfärdigt att, när man Jämför dem med andra, säga, att en löneplacering, som ställer dem i klass med nyssnämnda posttjänstemän, är för hög? Det är betydligt mycket billigare att utbilda sig till postassistent än att utbilda sig till folkskollärare, och jag är säker på, att om de som tillhöra den förra gruppen, icke levat ett alltför slösaktigt liv under</w:t>
        <w:br/>
        <w:br/>
        <w:t>sin utbildningstid, de icke gärna kunna ha åsamkat sig närmelsevis så stora studieskulder som folkskollärarna i allmänhet måst göra.</w:t>
        <w:br/>
        <w:br/>
        <w:t>Inom kommittén förefunnos inga meningsskiljaktigheter beträffande placeringen i löneklasser — man var ense därom, att de borde höra hemma i löneklass B. 10, numera B 17. Vad som däremot var föremål för meningsskiljaktighet var frågan, om vilket värde naturaförmånerna borde värderas till, d. v. s. huru många löneklasser, man skulle räkna av i ersättning för naturaförmånerna. På den punkten bröto sig meningarna inom kommittén. En reservant, herr Kaijser, föreslog, att det skulle göras ett större löneavdrag härför, än majoriteten i kommittén ansåg skäligt. Om detta har emellertid icke statsutskottet skrivit någonting, utan utskottet säger endast, att löneplaceringen är för hög. Detta uttalande kan icke försvaras, om man håller sig till jämförelser med de andra tjänstemän, som redan fått sin lönereglering. Efter mitt sätt att se, är statsutskottsmajoritetens yttrande i denna punkt orättfärdigt mot lärarkåren. Därför kan jag under inga förhållanden vara med om att biträda det föreliggande förslaget.</w:t>
        <w:br/>
        <w:br/>
        <w:t xml:space="preserve">Sedan är det en del andra problem, som rullas upp, som t. ex. frågan om de gifta </w:t>
      </w:r>
      <w:r>
        <w:rPr>
          <w:b/>
        </w:rPr>
        <w:t>kvinnornas¹</w:t>
      </w:r>
      <w:r>
        <w:rPr>
          <w:b w:val="0"/>
        </w:rPr>
        <w:t xml:space="preserve"> naturaförmåner. Det kan vid första ögonblicket synas oriktigt, att om t. ex. en lärare och en </w:t>
      </w:r>
      <w:r>
        <w:rPr>
          <w:b/>
        </w:rPr>
        <w:t>lärarinna³</w:t>
      </w:r>
      <w:r>
        <w:rPr>
          <w:b w:val="0"/>
        </w:rPr>
        <w:t xml:space="preserve"> vid samma skola gifta sig, båda skola få ersättning för naturaförmåner. Men så snart man går in för de löneprinciper, som uttalades av 1902 års lönekommitté, bliva konsekvenserna sådana. När den tog ståndpunkt till detta spörsmål, hade den att bedöma ett förslag från lärarelönenämndens sida om, att man skulle bestämma olika löner till familjeförsörjande och icke familjeförsörjande lärare. Detta förslag avvisades emellertid energiskt av denna kommitté. Jag satt själv i 1902 års löneregleringskommitté, intill dess jag inträdde i regeringen. Jag hade för övrigt herr Carl Persson 1 Stallerhult som kamrat i denna kommitté. Han var en av de mest kunniga män, på detta område, som suttit i denna kammare. Kommittén slog ifrån sig lärarlönenämndens förslag med båda händerna och ville icke vara med om att införa olika löner för gifta och ogifta folkskollärare, och eftersom lönen delas upp i en kontantsumma och naturalön, bör den, ansåg kommittén, vara lika för gifta och ogifta. På detta sätt resonerade man inom denna kommitté, och det var på denna grund, som det för folkskollärarkåren antagna lönesystemet byggdes. Jag vill icke påstå, att detta resonemang är i alla hänseenden oangripligt. Man kan givetvis resonera om löneprinciper, men man bör därvid förstå, att detta är en princip, som icke bara berör folkskollärarna utan måste beröra alla våra tjänstemän. Skola vi gå in för principen att räkna med olika löner till gifta och ogifta och rulla upp den principen i detta sammanhang, kommer det med nödvändighet att medföra ett ytterligare uppskov med folkskollärarnas lönefråga.</w:t>
        <w:br/>
        <w:br/>
        <w:t>Min uppfattning är den, att det vore olyckligt och synnerligen orättvist mot folkskollärarekåren, om man nu, sedan den fått vänta på lönereglering sedan år 1920, då denna av Thorsson planerade och av Bergqvist utsedda kommittén tillsattes, skulle underkasta denna fråga en ny tidsödande utredning vilken utredning kanske, som den förutvarande utredningen, skulle komma att vara minst tre år eller kanske avsevärt längre tid. Det vore icke rättvist handlat och icke heller, påstår jag behövligt. Det blir ju alltid regeringen, som kommer att taga ståndpunkt till vilka belopp, som man skall utgå ifrån. Och jag vågar bestämt uttala, att såväl den nuvarande regeringen som den, vilken kanske inom några dagar skall komma, utan någon ny stor utredning om denna sak, har tillräckligt material tillrättalagt för sitt ståndpunktstagande, likaväl som den inom ecklesiastikdepartementet har arbetskrafter för att utforma ståndpunkterna i en regeringsproposition. Det är bara att bestämma, hur man</w:t>
        <w:br/>
        <w:br/>
        <w:t>vill ha det. Materialet är, som sagt, tillrättalagt för att göra en proposition i denna fråga.</w:t>
        <w:br/>
        <w:br/>
        <w:t>Jag har, för att begagna ett ord, som jag använde vid debatten i statsutskottet, för min del funnit statsutskottsmajoritetens hemställan vara ett verkligt klubbslag gentemot folkskollärarnas lönefråga, därigenom att den kastar ut den i det fullständigt ovissa, och därigenom att den för in en hel del diskuterbara principer. Det måste, om man tar hänsyn till de principer, som tillämpas beträffande andra tjänstemannagrupper, te sig såsom något obilligt att tilllämpa särprinciper endast gentemot denna kär. På grund härav har jag icke kunnat biträda det förslag, som utskottsmajoriteten kommit till.</w:t>
        <w:br/>
        <w:br/>
        <w:t>I det läge alltså, vari frågan inom utskottet kom, måste jag medverka till att utarbeta ett motförslag mot majoritetens, och det är detta motförslag, som innefattas i reservationen. Det voterades om detta förslag i utskottet, men det föll på en röst. Eljest hade denna i reservationen gjorda hemställan blivit utskottets förslag. Detta förslag innebär icke något ståndpunktstagande på förhand från statsutskottets sida för ett visst löneförslag eller vissa lönebelopp utan innebär endast en hemställan från utskottets sida om positiva åtgärder. Jag tycker icke att det vore likt riksdagen, om den skulle biträda utskottets förslag och så att säga fördöma hela det kommittébetänkande, som utarbetats under flera år av framstående och plikttrogna personer, och till på köpet utan att man har sett på betänkandet ifråga. Jag frågar: hur många av kammarens ledamöter ha studerat detta stora löneförslag. Statsutskottet har icke gjort det. I andra avdelningen av utskottet har man icke gjort någon undersökning av detsamma, långt mindre i utskottet. Det efter min uppfattning mest oriktiga yttrandet i utskottets motivering, nämligen yttrandet om den för höga löneplaceringen, kom till på grund av att en enskild utskottsledamot stod upp i debatten och framställde yrkande härom, strax innan det voterades. Detta yrkande antogs alltså i en hastig vändning och kom på så sätt med i statsutskottets yttrande, tack vara en rösts majoritet. Någon verklig undersökning i sak ligger alltså — jag fastslår det — icke bakom detta uttalande. Det är icke rimligt att på ett sådant sätt utdöma ett förslag, som innefattas i detta kommittébetänkande, och som varken varit motionsvis eller i proposition framlagt för riksdagen, och som riksdagen således icke, även om den velat, kunnat taga del av och sätta sig in i. Nu har jag icke, då jag tappade i voteringen, haft någon möjlighet att framställa yrkande i kammaren om bifall till det i reservationen omnämnda skrivelseförslaget. Reservanter ha ju grundlagsenligt icke någon motionsrätt, en rätt, som ju utskottet har. Under sådana förhållanden hemställer jag, att vi samlas på den linjen, som avser att leda till en tillfällig löneförbättring till nästa års riksdag. TI ett svar till en deputation av lärare, som hade företräde för den inom regeringen ansvarige på detta området har man — jag tror mig ha rätt att omtala det — meddelat, att man igångsatt förarbeten för att kunna framlägga ett förslag om tillfällig löneförbättring till nästa års riksdag, och att man, om det finansiellt vore möjligt, skulle söka genomföra ett sådant förslag. Under sådana förhållanden tror jag, att man befinner sig i god överensstämmelse med vad som inom regeringen planeras, då man biträder det yrkande, som gjorts i den reservation, som avgivits av herr Oscar Olsson m. fl.</w:t>
        <w:br/>
        <w:br/>
        <w:t>Jag vädjar till kammaren att icke bifalla utskottets hemställan. Jag tror, att jag vågar uttala den uppfattningen, att den misströstan och det missnöje, som redan förut förefinnes inom hela lärarevärlden, kommer att bliva större och allmännare, om detta förslag bifalles. Det kommer att kännas som ett verkligt slag, om man på det sättet på en gång kastar undan allt arbete, som blivit gjort i denna sak, och i stället följer dessa tillfälligt och mycket lösligt hop-</w:t>
        <w:br/>
        <w:br/>
        <w:t>komna direktiv. Jag hemställer därför, att kammaren icke måtte bifalla utskottets förslag utan bifalla den reservation, som avgivits av herr Oscar Olsson m. fl., till vilken jag härmed yrkar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