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517</w:t>
      </w:r>
    </w:p>
    <w:p>
      <w:r>
        <w:rPr>
          <w:b/>
        </w:rPr>
        <w:t xml:space="preserve">Datum: </w:t>
      </w:r>
      <w:r>
        <w:t>1926-05-29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Bergqvist (Högerns riksdagsgrupp, man)</w:t>
      </w:r>
    </w:p>
    <w:p>
      <w:r>
        <w:rPr>
          <w:b w:val="0"/>
        </w:rPr>
        <w:t>Herr greve och talman! Jag saknar resurser att ge denna fråga en så allsidig belysning som en föregående talare gjort, och jag förbigår därför bl. a. frågan om det berättigade eller oberättigade i de lönekrav, som framställts i folkskollärarekårens intresse. Vid behandlingen av denna fråga har det emellertid rått tvekan om, huruvida man borde avstyrka motionen med en välvillig motivering eller om man borde avlåta en skrivelse. Det förra hade säkert varit mest statsutskottsmässigt, eftersom utskottet plägar iakttaga stor varsamhet i fråga om framställningar till Kungl. Maj:t på grund av enskilda motioner, när det gäller så stora belopp, som det här är fråga om. En löneförbättring på det sätt motionen kräver skulle fordra ett belopp av över 10 miljoner kronor, och att bifalla motionen var ju för utskottet omöjligt. 'Tvekan rådde emellertid som sagt, huruvida man borde hos Kungl. Maj:t genom skrivelse framställa någon begäran om proposition till riksdagen i ärendet, alldenstund detta ju är en rätt ovanlig åtgärd från riksdagens sida i löneregleringsfrågor.</w:t>
        <w:br/>
        <w:br/>
        <w:t>Emellertid befanns det, att vissa skäl talade för avlåtande av en skrivelse. Först och främst ville utskottet framhålla att, när det nu föreligger ett förslag om definitiv lönereglering för folkskollärare, man borde inrikta sig på att om det kunde ske genomföra en sådan lönereglering i stället för att börja med någon tillfällig löneförbättring. Det förslag, som förelåg, ansågs emellertid väl högt tilltaget. Enligt detta förslag skulle en lärare i första lönegraden på billigaste ort få en avlöning av 3,450 kronor såsom begynnelselön och såsom slutlön 4,560 kronor. På dyraste ort skulle han få 4,350 kronor såsom begynnelselön och i slutlön 5,676 kronor. Därtill skulle då komma dyrtidstillägg enligt normerna för reglerade verk samt fri bostad och bränsle eller ersättning därför.</w:t>
        <w:br/>
        <w:br/>
        <w:t>Nu har utskottet sagt, att det anser, att denna löneställning är för hög. Herr Olsson har uttalat sin förvåning över ett sådant uttalande och menat, att det innebure ett ytterst ovanligt föregripande av en blivande lönereglering. Ser man saken nyktert, så är det klart, att utskottet för att kunna förorda en definitiv lönereglering jämväl ville betona, att denna icke finge genomföras efter för höga normer. Det är sålunda en förutsättning för att skrivelse skulle i ärendet kunna avlåtas till Kungl. Maj:t.</w:t>
        <w:br/>
        <w:br/>
        <w:t xml:space="preserve">Vidare var det åtskilliga andra frågor, som utav utskottet ansågos böra komma under utredning i samband med en blivande lönereglering, och man ansåg, att man i en skrivelse hade bättre tillfälle att framhålla detta än i en motivering. Dessa frågor äro exemplifierade i utskottsutlåtandet, såsom angående lärarnas tjänstgöringstid, angående gift </w:t>
      </w:r>
      <w:r>
        <w:rPr>
          <w:b/>
        </w:rPr>
        <w:t>lärarinnas³</w:t>
      </w:r>
      <w:r>
        <w:rPr>
          <w:b w:val="0"/>
        </w:rPr>
        <w:t xml:space="preserve"> naturaförmåner, angående lärares skyldighet att undervisa i fortsättningsskola, m. m. Utskottet ansåg, att innan en lönereglering genomfördes, dessa förhållanden borde utredas och lärarekårens skyldigheter i detta avseende fixeras.</w:t>
        <w:br/>
        <w:br/>
        <w:t>Nu föreligga här två förslag till skrivelse, ett ifrån utskottets majoritet och ett från reservanterna. Förutom övriga skillnader i dessa alternativ är det framför allt den, att under det reservanterna hemställt till Kungl. Maj:t, att redan nästa år förslag må framläggas om tillfällig löneförbättring, har utskottet icke ansett sig kunna kräva av Kungl. Maj:t, att en sådan pro-</w:t>
        <w:br/>
        <w:br/>
        <w:t>position ovillkorligen vid nästa riksdag skall framläggas, utan utskottet Om örutsätter att det därvid må tagas hänsyn till de finansiella möjligheter, fana Om som kunna förefinnas. Kan Kungl. Maj:t framlägga ett sådant förslag, så folkskollärare innebär detta skrivelseförslag inte något hinder därför. Kan Kungl. Maj:t = m. fl. icke detta utav finansiella skäl, innebär förslaget icke heller något ovillkor- = (Forts) ligt krav på att så skall ske. Jag tror, att det är bäst även för lärarekåren själv, att en sådan försiktig avfattning iakttas vid avlåtande av ifrågavarande skrivelse.</w:t>
        <w:br/>
        <w:br/>
        <w:t>Jag skulle kanske till herr Olsson ge ett par små repliker. För det första sade herr Olsson, att lärarekåren är den enda större tjänstemannagrupp, som icke har fått sina löner reglerade. Denna uppgift är väl inte så alldeles riktig, ty det finns en annan stor grupp, som icke heller fått någon lönereglering, nämligen landsstaten, för att nu icke tala om en hel del mindre tjänstemannagrupper, som befinna sig i samma ställning.</w:t>
        <w:br/>
        <w:br/>
        <w:t>Vidare uppgav herr Olsson, att folkskollärarnas nuvarande lönereglering är byggd på priserna före 1914. Denna uppgift tarvar nog bekräftelse, ty löneregleringen genomfördes 1918, och det synes underligt, om man då byggt den på en prisnivå, som ägde rum före 1914. Jag vågar dock icke yttra mig om huru härmed förhåller sig, men jag tror det är nödvändigt att bekräfta denna uppgift, för att den skall kunna tagas för god.</w:t>
        <w:br/>
        <w:br/>
        <w:t>Så vände sig herr Olsson mot förslaget om inarbetande av dyrtidstilläggen i lönerna. I det fallet har ju icke utskottet gjort något bestämt yrkan-</w:t>
        <w:br/>
        <w:br/>
        <w:t>e utan sagt, att den frågan eventuellt kunde upptagas, och det har icke varit utskottets avsikt, att det skulle ske på det sättet, att lärarnas löneförmåner därigenom skulle nedpressas. Det var endast så, att detta krav från visst håll uppställdes, för att man skulle göra en begynnelse till att avveckla dyrtidstilläggspolitiken, vilket man ansåg bäst kunna ske successivt, kår efter kår. Öch då det här förelåg förslag om en ny lönereglering, syntes det lämpligt, att man började med folkskollärarekåren. Jag tror icke man får fatta detta så, att avsikten på något sätt skulle varit att nedpressa folkskollärarnas löner.</w:t>
        <w:br/>
        <w:br/>
        <w:t>Med hänsyn till vad jag sålunda yttrat, ber jag, herr greve och talman, att få yrka bifall till utskottets hemställan i ärendet.</w:t>
      </w:r>
    </w:p>
    <w:p>
      <w:pPr>
        <w:pStyle w:val="Heading2"/>
      </w:pPr>
      <w:r>
        <w:t>2. Johan Johansson (Liberala samlingspartiet, man)</w:t>
      </w:r>
    </w:p>
    <w:p>
      <w:r>
        <w:rPr>
          <w:b w:val="0"/>
        </w:rPr>
        <w:t>Herr talman, mina herrar! Det föreliggande utskottsförslaget vittnar ju tydligt om, att det även inom utskottsmajoriteten funnits god vilja att göra det bästa möjliga i föreliggande fråga. Skada är ju dock, att icke denna goda vilja kunnat förena sig med reservanternas, så att man kunnat föra frågan ett stycke framåt. Såsom den nu ligger, ligger den då inte gott till i utskottet heller.</w:t>
        <w:br/>
        <w:br/>
        <w:t>Den förste talaren nämnde något om det direktiv, som utskottet hade velat ha fram, då det ville ha riksdagen med på en skrivelse, nämligen att man skulle göra ett uttalande, att den föreslagna löneskalan för lärarna ligger för högt. Jag tycker också, att det är rätt betänkligt att göra detta. Jag misstar mig kanske inte så mycket, om jag misstänker, att det finns kanske 95 procent av denna kammares ledamöter, som icke ha sett detta utskottsutlåtande, vartill de nu skola fatta ståndpunkt. Det är väl en och annan av utskottsledamöterna, kanske allihop, som gjort det, men de som skola fatta beslutet här ha icke ens sett utlåtandet och ännu mindre tagit del av de skäl, som varit vägledande för de kommitterade, då dessa framlagt sitt förslag. Jag tycker icke det är billigt att ställa kammaren inför en sådan nödvändighet och att nu, två år innan frågan föreligger till avgörande, tvinga riksdagen att göra en förhandsutfästelse och binda sig vid en förutfattad mening i frågan. Det är väl tids nog, att riksdagen tar ställning till den,</w:t>
        <w:br/>
        <w:br/>
        <w:t>då den kommer före och blir aktuell om två år. Detta gäller den formella sidan av frågan.</w:t>
        <w:br/>
        <w:br/>
        <w:t>Beträffande själva saken nämnde den förste ärade talaren — och den siste ärade talaren var också inne på detsamma — att den lönereglering för lärarkåren, som det nu gäller och som genomfördes 1918, grundar sig faktiskt på det prisläge, som rådde före kriget. Om den hänför sig till 1914 års prisläge, vet jag inte, men 1912 sattes utredningen i gång, och man gick då naturligtvis ut från de pris, som då rådde. Löneregleringen kom därför att ligga alltför lågt i förhållande till den prisnivå, som sedan dess varit rådande, och då löneregleringen för kommunikationsverkens personal följande år genomfördes, lades lönerna upp på en betydligt högre nivå. I samband därmed antogs ett nytt lönesystem med en hel massa lönegrader med små intervaller för att kunna placera var och en, där han med hänsyn till utbildning och tjänsteförhållanden borde placeras, Därjämte innehöll det nya systemet, att den, som genom sin tjänstgöring är bunden vid en dyrare ort, skall ha något högre lön än den, som tjänstgör på en billigare ort.</w:t>
        <w:br/>
        <w:br/>
        <w:t>Nu ha, såsom de båda föregående talarna anmärkt, åtminstone de flesta av alla statens befattningshavare fått sina löner reglerade till denna högre prisnivå, och meningen var, att också folkskolans lärarpersonal skulle inordnas i det nya lönesystemet och få sina löner reglerade till samma lönenivå. Detta uttalade redan förra statsrådet Thorsson, och sedermera tillsatte ju Kungl. Maj:t år 1920 en kommitté och gav den i direktiv att inpassa folkskolorna i det nya lönesystemet och inkomma med förslag till en lönereglering så tidigt att densamma kunde föreläggas 1922 års riksdag. Kommittén blev icke färdig vare sig 1921 eller 1922 utan först mot slutet av 1923, och sedan ha statsmakterna icke gjort någonting åt saken. Således har det varit meningen, att även folkskolans lärare skulle föras till den högre lönenivå, som beslöts 1919, och den kommitté, vars utlåtande man här vill beskära, har följt Kungl. Maj:ts och riksdagens direktiv. Jag tycker därför, att det är oegentligt, att man nu skall topphugga detta förslag. Vill riksdagen sedan, då dessa lärares löner äro förda till samma nivå som andra löner, draga in dyrtidstilläggen eller höja dem eller minska dem, har lärarkåren givetvis ingenting emot den saken att erinra, men vad den måste hålla på, det är likställighetskravet.</w:t>
        <w:br/>
        <w:br/>
        <w:t xml:space="preserve">Sedan föreslår utskottet en del utredningar, och det är icke så mycket att säga om, ty har man en rättfärdig sak att förfäkta, behöver man ju icke vara rädd för utredningar. En enda sak har jag fäst mig vid där och det är, att utskottet säger, att </w:t>
      </w:r>
      <w:r>
        <w:rPr>
          <w:b/>
        </w:rPr>
        <w:t>lärarinnornas³</w:t>
      </w:r>
      <w:r>
        <w:rPr>
          <w:b w:val="0"/>
        </w:rPr>
        <w:t xml:space="preserve"> bostadsförmåner böra bli föremål för prövning. Meningen lär vara den, att om en </w:t>
      </w:r>
      <w:r>
        <w:rPr>
          <w:b/>
        </w:rPr>
        <w:t>lärarinna³</w:t>
      </w:r>
      <w:r>
        <w:rPr>
          <w:b w:val="0"/>
        </w:rPr>
        <w:t xml:space="preserve"> gifter sig med en lärare, skola </w:t>
      </w:r>
      <w:r>
        <w:rPr>
          <w:b/>
        </w:rPr>
        <w:t>hennes²</w:t>
      </w:r>
      <w:r>
        <w:rPr>
          <w:b w:val="0"/>
        </w:rPr>
        <w:t xml:space="preserve"> bostadsförmåner indragas. Nu förhåller det sig på det sättet, att förmånen av fri bostad ingår säsom en del av lönen. På de flesta platser utgår den väl in natura, men på de platser där det är flera lärare, såsom det måste vara där en lärare och en </w:t>
      </w:r>
      <w:r>
        <w:rPr>
          <w:b/>
        </w:rPr>
        <w:t>lärarinna³</w:t>
      </w:r>
      <w:r>
        <w:rPr>
          <w:b w:val="0"/>
        </w:rPr>
        <w:t xml:space="preserve"> ingå äktenskap, utgår den i regel i kontanter. Den utgör då viss procent av lönen, 15 eller 20 procent, vad det nu kan vara. Jag vill icke yttra mig om huruvida det kan vara riktigt eller icke att göra på det sättet, men det vill jag säga, att skall det ske, skall det ske för alla, även för statstjänarna, och då skall man stadga, att där </w:t>
      </w:r>
      <w:r>
        <w:rPr>
          <w:b/>
        </w:rPr>
        <w:t>kvinna¹</w:t>
      </w:r>
      <w:r>
        <w:rPr>
          <w:b w:val="0"/>
        </w:rPr>
        <w:t xml:space="preserve"> i statens tjänst eller folkskolans ingår äktenskap med man som innehar liknande tjänst, så skola </w:t>
      </w:r>
      <w:r>
        <w:rPr>
          <w:b/>
        </w:rPr>
        <w:t>hennes²</w:t>
      </w:r>
      <w:r>
        <w:rPr>
          <w:b w:val="0"/>
        </w:rPr>
        <w:t xml:space="preserve"> löneförmåner sänkas med 20 procent. Då har lärarkåren ingenting att erinra mot det, men det skall icke införas såsom särbestämmelse för folkskollärarkåren, ty komma de sju år efter, då det gäller förmånerna, skola de icke rimligen gå i täten, då det gäller att införa nackdeiar.</w:t>
        <w:br/>
        <w:br/>
        <w:t>Så nämnde herr Lindblad att Kungl. Maj:t nog kommer med förslag till</w:t>
        <w:br/>
        <w:br/>
        <w:t>tillfällig löneförbättring även för dessa lärare. Ja, det är ju just det, denna Om lärarkår väntat på nu i sju år. Varje år under de fem senaste har kåren tUfällig. lönes gått in med en stilla och försynt anhällan, att också de i likhet med andra folkskollärare befattningshavare skulle komma i åtnjutande av tillfällig löneförbättring,” — m. fl. men svaret har alltid varit detsamma: statsfinansiella svårigheter. Lärar- = (Forts) kåren har icke kunnat förstå, varför statsfinansiella svårigheter skola gilla bara för dem och icke för andra, ty under det riksdagen varje år avvisar lärarkåren med de statsfinansiella svårigheterna, har det för varje riksdag begärts och beviljats tillfälliga löneförbättringar och ökade löneförbättringar och definitiva löneregleringar åt andra kårer. Då vi hade försvarsfrågan uppe i fjol, upplystes det från kompetent håll att Sveriges finansiella ställning var mycket god, ja, i jämförelse med andra länders rent av lysande. Men det är det underliga med Sveriges inkomster, att de räcka till att läta alla andra få fullt, men det fattas en tredjedel av folkskollärarnas löner, och den tredjedelen tycks aldrig någonsin inflyta i statskassan.</w:t>
        <w:br/>
        <w:br/>
        <w:t>Beträffande reservanternas förslag, får jag säga, att jag tycker det också är tämligen magert och intetsägande, men det kanske icke kan sägas någonting mer, och då man av två onda ting väljer det minst onda, så jag skall be, herr talman, att få yrka bifall till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