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520</w:t>
      </w:r>
    </w:p>
    <w:p>
      <w:r>
        <w:rPr>
          <w:b/>
        </w:rPr>
        <w:t xml:space="preserve">Datum: </w:t>
      </w:r>
      <w:r>
        <w:t>1926-06-01</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Herman Lamm (–, man)</w:t>
      </w:r>
    </w:p>
    <w:p>
      <w:r>
        <w:rPr>
          <w:b w:val="0"/>
        </w:rPr>
        <w:t>Herr talman, mina herrar! Vid 1922 års riksdag hade jag den äran att vara ordförande för de sammanslagna tredje och fjärde avdelningarna i statsutskottet, vilka hade till uppgift att vinna enighet med avseende å direktiven beträffande denna arbetslöshetsfråga. Jag hade då tillfälle att något närmare sätta mig in i denna sak, och jag får därför säga, att det var beundransvärt, att vi verkligen kunde i ett så ömtåligt ämne, med så olika partiåskådningar komma till ett enigt slut i alla fall. Hela kompromissen hängde ju ibland på ett enda ord. De direktiv, som vi inom utskottet till slut enades om att framlägga, kunde ju kanhända icke i alla avseenden ha den tydlighet, som man skulle önskat att de skulle ha såsom direktiv. Med anledning av vad som under tidernas lopp inträffat skulle man i någon mån kunna fordra att förtydliganden ägt rum. Jag får för min del säga, att jag funnit vad statsutskottet här kommit med vara ett förtydligande av de år 1922 givna direktiven. Jag kan visst icke gå med på statsutskottets utlåtande i alla delar — jag skall återkomma därtill senare — men jag kan icke frigöra mig ifrån den tanken, att det här verkligen är fråga om ett förtydligande och icke, såsom ifrån statsrådsbänken framhållits, en skärpning av villkoren.</w:t>
        <w:br/>
        <w:br/>
        <w:t>Jag beundrar mycket, trots de starka orden, herr statsrådets anförande, ty det var utomordentligt uttömmande och utredande, ehuru man ju i vissa avseenden skulle kunna vilja motsäga honom, men då han vädjade till vår hederskänsla och ifrågasatte om icke statsutskottets utlåtande var ett politiskt utlåtande, får jag säga, att jag ber få fråga honom, huruvida han, om han lägger handen på hjärtat, icke i alla fall beträffande sin uppfattning om denna skärpning av direktiven måste medge, att han har en mycket stark vilja att betrakta utlåtandet såsom något sådant av helt andra grunder än på grund av ett objektivt bedömande av detsamma.</w:t>
        <w:br/>
        <w:br/>
        <w:t>Jag skall nu för min del be att få förklara, hur Jag ser denna sak.</w:t>
        <w:br/>
        <w:br/>
        <w:t>Då alla äro eniga både om det av regeringen äskade anslagets berät-</w:t>
        <w:br/>
        <w:br/>
        <w:t>tigande och om att förnya gällande direktiv för dess användning, borde riksdagen ha kunnat inskränka sig till att fatta beslut i ärendet med den kortfattade motivering, som föreslås av utskottets reservanter. Denna innebär ju allenast, att de tidigare av riksdagen givna bestämmelserna om arbetslöshetsunderstöd skola »oförändrade» tillämpas. Men eftersom olika åsikter uppstått om dessa direktivs tolkning i visst avseende, kan jag icke biträda ett allmänt uttalande, som snarare synes vara ägnat att upprätthålla oklarheten än att undanröja den.</w:t>
        <w:br/>
        <w:br/>
        <w:t>Tvist torde icke råda om de generella grunderna för statens hjälpverksamhet, om skyldigheten för den arbetslöse att efterkomma arbetshänvisning till öppna arbetstillfällen och om avstängning från statlig arbetslöshetshjälp vid allmänna och därmed likställda partiella arbetskonflikter.</w:t>
        <w:br/>
        <w:br/>
        <w:t>Vad som nu är omtvistat är däremot, huruvida arbetshänvisning, med risk av den arbetslöses utestängning från statshjälp, kan göras vid rent partiella konflikter, som icke utgöra ett led i en mera allmän lönerörelse och som därför icke anses vara av allmän konflikts natur. Under tiden före år 1922 tilllämpades med säkerhet arbetshänvisning i dylika fall. Men fråga har uppstått om icke grunderna för de år 1922 lämnade riksdagsdirektiven inneburit ett fullständigt upphävande av arbetshänvisning jämväl vid konflikt av sist omförmälda slag. Till stöd för uppfattningen, att arbetshänvisning vid varje slag av konflikt skulle hava upphört, anföras åtskilliga omständigheter och uttalanden, bland andra arbetslöshetskommissionens yttrande till 1923 års statsutskott.</w:t>
        <w:br/>
        <w:br/>
        <w:t>För min del kan jag dock icke finna bärande skäl vara anförda för åsikten därom, att enligt gällande bestämmelser ett genom konflikt blockerat arbete under alla omständigheter skulle vara fridlyst från arbetshänvisning. TI detta samband är den erinran på sin plats, att vid Kungl. Maj:ts i utskottsbetänkandet omnämnda beslut den 10 mars 1922 föredragande departementschefen angående frågan om ett blockerat arbete kunde anses som lämpligt arbetstillfälle yttrade, att »sådana fall förvisso kunde förekomma, då samhällsintresset kräver, att hänsyn icke tages till en arbetargrupps blockadpåbud». Ingenting i 1922 års utskottsbehandling eller riksdagsbeslut tyder heller på, att man inom riksdagen haft en annan mening än den av dåvarande socialministern sålunda uttalade. Även efter det 1922 års riksdagsdirektiv lämnats har arbetslöshetskommissionen utan anmärkning handlat efter samma princip. Den skälighetsprövning, som härvid verkställts av kommissionen, har både avsett de med konflikten förbundna omständigheter och de erbjudna lönevillkorens skälighet.</w:t>
        <w:br/>
        <w:br/>
        <w:t>Enligt enahanda grunder har arbetslöshetskommissionen i olika skeden upptagit och behandlat det mycket omtalade Stripafallet, vari hänvisning av arbetslösa skett, trots att blockad av arbetet pågått under en långvarig, av den syndikalistiska organisationen på platsen igångsatt konflikt. Anledning förefinnes icke att ingå på kritik vare sig av kommissionens ståndpunkt eller av Kungl. Maj:ts på klagomål av Sveriges kommunistiska parti och den syndikalistiska centralorganisationen fattade beslut i detta speciella ärende. Men det föreliggande fallet gör det nödvändigt att för framtiden fastslå, att tilllämpningen av den statliga hjälpverksamhetens grundsats om arbetsskyldighet icke bör få äventyras av hänsyn till varje slags blockadpåbud. Upprätthållandet av denna princip behöver ingalunda, vid den skälighetsprövning, som i det speciella fallet åligger arbetslöshetskommissionen, utesluta vederbörligt hänsynstagande till arbetarnas naturliga intressegemenskap vid en lojalt förd lönerörelse. Men däremot kan det befaras, att ett generellt fastställande av regeln, att arbetshänvisning 1 intet fall bör ske till blockerad arbetsplats, komme att gynna guerillastrider inom arbetsmarknaden, vilka ingalunda vore till</w:t>
        <w:br/>
        <w:br/>
        <w:t>gagn vare sig för samhället eller för sammanhållningen inom den i större landsförbund och på grundvalen av fasta kollektivavtal verksamma fackföreningsrörelsen.</w:t>
        <w:br/>
        <w:br/>
        <w:t>På de skäl, som nu anförts, kan jag biträda utskottets huvudsakliga yrkande, nämligen om förtydligande i den punkt rörande arbetshänvisning, vari oklarhet egentligen tyckes föreligga. Men särskilt som utskottets motivering i denna del, i den mån sådan förekommer, råkat få plats först efter konklu;- sionen, finner jag mig böra än en gång understryka, att utskottets sagda förtydligande givetvis icke avser att medföra ändring i kommissionens hittillsvarande praxis att vid ifrågavarande slag av konflikt efter skäligheten bedöma, både huruvida och mot vilka arbetsvillkor hänvisning bör ske.</w:t>
        <w:br/>
        <w:br/>
        <w:t>Vad därefter angår utskottets erinran därom, att arbetslöshetskommissionens beslut böra genast träda i verkställighet och äga tillämpning i avvaktan på deras slutliga prövning, tyckes mig denna erinran, i vad den rör användningen av nu äskat anslag, vara fullt befogad.</w:t>
        <w:br/>
        <w:br/>
        <w:t>I övriga punkter, vari utskottet påyrkar »förtydligande», torde allenast en oväsentlig omformulering av nuvarande direktiv hava avsetts; och är härvid intet att invända.</w:t>
        <w:br/>
        <w:br/>
        <w:t>Däremot finner jag mig böra anmärka, att då utgångspunkten även för utskottets yttrande varit, att någon som helst skärpning i de givna direktiven eller i arbetslöshetskommissionens därpå grundade praxis ju icke förutsättes, det i utskottets motivering sid. 8 gjorda bedömandet av Stripakonfliktens beskaffenhet vid tiden för kommissionens beslut den 23 mars 1926 kan giva anledning till missförstånd rörande kommissionens befogenheter för framtiden och bör utgå. Överhuvud anser jag det vara ett önskemål, som upprepade erfarenheter allt starkare framhävt, att arbetslöshetskommissionen måtte erhålla en mera fristående och självständig ställning och befogenhet, varav bland annat skulle följa, att regeringsmakten i förhållandet till riksdagen mera friställdes från det direkta ansvaret för verkställigheten av riksdagens arbetslöshetspolitik.</w:t>
        <w:br/>
        <w:br/>
        <w:t>Ett sammanförande av de vid skilda riksdagar lämnade direktiven, med de kompletteringar och eventuella modifikationer, som därvid anses påkallade, borde samtidigt komma till stånd för att giva nödig stabilisering åt kommissionens praxis. Det är att hoppas, att det pågående utredningsarbetet rörande arbetslöshetsförsäkring skall avsätta resultat även i detta hänseende.</w:t>
        <w:br/>
        <w:br/>
        <w:t>Som läget nu är, gives tyvärr icke rådrum för en mera allsidig behandling av frågan om ordnandet av statens hjälpverksamhet. Riksdagen är även nu inskränkt till att vidtaga provisoriska åtgärder; och det är så mycket mera att beklaga, om i en sådan situation ett bibehållande från riksdagens sida av vad den anser allenast vara på dess egna direktiv grundad praxis skall behöva medföra vittgående politiska konsekvenser. Själva tvistefrågan är ju begränsad till spörsmålet, huruvida en vid rent partiella konflikter ytterst sällan använd procedur skall bibehållas för att göra det möjligt att komma till rätta med överdrivna anspråk. När jag ansluter mig till yrkandet härpå, ligger däri icke något angrepp mot arbetarnas organisation och fackföreningsrörelse. Snarare torde det slags blockadförklaringar, vilka här äro i fråga, böra — för att åter citera en passus i förutnämnda statsrådsprotokoll den 10 mars 1922 — betraktas som »ett medel att nedbryta den solidaritetsgrund och faktiska rättsordning, på vilken det kollektiva avtalssystemet byggts upp».</w:t>
        <w:br/>
        <w:br/>
        <w:t>Med beklagande ser jag fram emot möjligheten, att dagens beslut blir av beskaffenhet att kunna tagas till intäkt för en skärpt strid mellan skilda samhällselement och meningsriktningar. Men det kan ju icke hjälpas, att frågeställningen tillagts en undermening, som den icke bort och behövt äga. Själva den begränsade men principiellt viktiga sakfrågan måste lösas; och i valet</w:t>
        <w:br/>
        <w:br/>
        <w:t>mellan fortsatt oklarhet och nödigt förtydligande av riksdagens direktiv yrkar</w:t>
        <w:br/>
        <w:br/>
        <w:t>understöd vid Jag bifall till utskottets förslag med uteslutande ur dess motivering av de tre arbetskonflikt. stycken, som å sid. 7 nederst börja med orden: »Vid den granskning» och som</w:t>
        <w:br/>
        <w:br/>
        <w:t>å sid. 8 sluta med orden: »längre än nödvändigt».</w:t>
        <w:br/>
        <w:br/>
        <w:t xml:space="preserve">I detta anförande instämde herrar Fehr, Kobb, Bondeson och von Sneidern, </w:t>
      </w:r>
      <w:r>
        <w:rPr>
          <w:b/>
        </w:rPr>
        <w:t>fröken²</w:t>
      </w:r>
      <w:r>
        <w:rPr>
          <w:b w:val="0"/>
        </w:rPr>
        <w:t xml:space="preserve"> Hesselgren samt herrar Pers, Lyberg och Isak Svensson.</w:t>
      </w:r>
    </w:p>
    <w:p>
      <w:pPr>
        <w:pStyle w:val="Heading2"/>
      </w:pPr>
      <w:r>
        <w:t>2. Janne Walles (Socialdemokraterna, man)</w:t>
      </w:r>
    </w:p>
    <w:p>
      <w:r>
        <w:rPr>
          <w:b w:val="0"/>
        </w:rPr>
        <w:t>Då jag deltagit i detta ärendes behandling på tredje avdelningen och inom utskottet står som reservant, skall jag be att få yttra några ord. Det centrala och det avgörande vid bedömandet av denna sak är, så vitt jag förstår, huruvida Stripakonflikten får anses som en partiell konflikt av allmän karaktär eller ej. Såväl arbetslöhetskommissionen som statsutskottet äro fullt ense med regeringen därom att Stripakonflikten från början var en partiell konflikt utan allmän karaktär. Utskottet förklarar i sitt förevarande utlåtande, att kommissionens beslut härom synes väl förenligt med riksdagens yttrande i dess skrivelse 1922 rörande riktlinjerna och de allmänna grunderna för tillämpningen vid hjälpverksamhetens bedrivande.</w:t>
        <w:br/>
        <w:br/>
        <w:t>Vad det nu gäller är alltså att få ett tillförlitligt bedömande av huruvida verkligen en förändring av konfliktens karaktär inträtt, så att om densamma rättvisligen kan påstås, att den numera har till sitt syfte att åstadkomma en allmän förbättring av de allmänna löneoch arbetsvillkoren inom facket. Kan det däremot visas, att de av stripaarbetarna framställda kraven, även efter de av bolaget erbjudna villkoren, fortfarande ligga i underkant och med ackordpriser, som äro lägre än på flertalet andra platser, och att sålunda inga anspråk från arbetarnas sida gjorts att uppnå högre reallöner än de inom yrket i Jämförliga fall vanligen förekommande, så förfaller ju därmed obestridligen påståendet, att konflikten numera skulle ha annan karaktär.</w:t>
        <w:br/>
        <w:br/>
        <w:t>Nu förefinnes i detta fall mot varandra stridande uppgifter från arbetarna och arbetsgivarna. TI intetdera fallet har full kontroll över uppgifternas riktighet kunnat vinnas. Men det bör anmärkas, att från såväl svenska gruvindustriarbetarförbundet som från Sveriges arbetares centralorganisation, vilka var för sig under ett flertal år fört lönestatistik, uppgifterna äro samstämmiga.</w:t>
        <w:br/>
        <w:br/>
        <w:t>Bedömningen försvåras därigenom, att delvis olika gruvor åberopats till Jämförelse. Från arbetarhåll har åberopats Gullblanka, Norbergs och Ställbergs gruvor samt Klacka-Lerberg och Dalkarlsberg. Här är medeltalet för de viktigaste ackorden för samtliga gruvor utom Klacka-Lerberg lägst 83 och högst 97 öre, därvid dock för lastning och borrning vid Ställbergsgruvorna lönen uppgår till respektive 1 krona 7 öre och 1 krona 15 öre per timme. Vid Stripa betaltes före konflikten 64.5 öre. Arbetsgivarna ha kommit till 67 å 68 öre, och den av arbetarna begärda 25-procentförhöjningen skulle alltså ge något över 80 öre. Arbetsgivarnas anbud enligt landshövding Elmquists utsago, som även av herr statsrådet anfördes, inför kommissionen i april skulle medföra en förhöjning beträffande ackorden för borrning och lastning till 71 å 717/; öre. Då han ansåg detta ligga i underkant föreslog han en sådan höjning i anbudet, att förtjänsten skulle bli cirka 75 öre, varjämte han begärde en modifikation i uppskattningen av naturaförmånerna, som han ansåg vore av bolaget för högt tilltagna. Sociala ombudet herr Wikander anför, att i vissa fall och för vissa ackord komma stripaarbetarna att ligga under i lönenivå jämfört med exempelvis arbetarna vid Gullblanka, Klacka-Lerberg och Åsboberg, medan de beträffande arbetarna vid Stribergsgruvan komme att ligga något över. Den senare gruvan lär ägas av samma aktiemajoritet, som äger Stripa. Om man bortser ifrån exportgruvorna, d. v. s. norrbottensgruvorna och Grängesberg samt några mindre gruvor däromkring, där arbetarna äro högst betalda, uppgår ackords-</w:t>
        <w:br/>
        <w:br/>
        <w:t>förtjänsten vid mellansvenska gruvfälten till 7 a 9 kronor per skift. Järnbruksförbundet betalar vid övriga gruvor 6 kronor 50 öre. Det torde vara nödvändigt att i detta sammanhang erinra om att stripaarbetarna, såsom redan påpekats, vid kristidens början fingo vidkännas en lönereducering av 60 procent, medan vid övriga gruvfält reduceringen stannade vid 40 procent. Stripaarbetarna kommo härigenom ned i en onaturligt låg lönenivå, uppgående till blott något över 5 kronor per skift. Denna låga lönenivå var också den egentliga orsaken, enligt förklaring från det till landsorganisationen anslutna Sv. Gruvindustriarbetarförbundets sida, till att Stripa icke kom med i uppgörelsen.</w:t>
        <w:br/>
        <w:br/>
        <w:t>Nu nämnde herr Ekman, att timpenningen skulle vara det avgörande, medan däremot ingen hänsyn kunde tas till ackorden. Ja, jag ber om ursäkt, men jag måste säga, att just detta är den stora bluffen i denna fråga. Det är nämligen så att ackorden äro det grundläggande, och det är efter dessa, som avlöningen i huvudsak utgår. Då i riksavtalet innehålles den bestämmelsen, att det skall stanna vid status quo vis å vis ackorden, följer därav, att Stripa fortfarande vidkommande ackorden och sålunda i reallön skulle komma att ligga väsentligt under de övriga gruvorna.</w:t>
        <w:br/>
        <w:br/>
        <w:t>Såsom motivering för de låga lönerna ha från arbetsgivarhåll anförts de dryga frakterna och de sämre avsättningsmöjligheterna för Stripa. Nu lär det med den saken förhålla sig så att den mesta malmen går till det närliggande Guldsmedshyttan, vilket bolag för övrigt lär vara ägare till gruvan. Härmed må nu vara hur som helst. Som faktum kvarstår, att denna konflikt är en ren lokal löneaktion för ernående av skälig betalning för arbetet och ingenting annat.</w:t>
        <w:br/>
        <w:br/>
        <w:t>Jag måste säga, att det är mig oförklarligt, att en man som herr Ekman, vilken eljest vill gå till botten med de frågor, han sysslar med, icke grundligare undersökt, huru verkliga förhållandet i denna fråga ligger till. Arbetslöshetskommittén på platsen, som otvivelaktigt mera ingående och mera i detalj känner förhållandena, har haft samma uppfattning, som här nu anförts. Det synes även ha spelat in, att det här var en syndikalistisk organisation, som ledde striden, men vare sig statliga myndigheter eller riksdagen kan låta sig påverka av vilken organisationsform, arbetarna välja vid framförandet av sina krav.</w:t>
        <w:br/>
        <w:br/>
        <w:t>Arbetarna vid Stripa och även andra — icke arbetare å platsen — hävda energiskt, att den till kommissionen från järnbruksförbundet insända skrivelsen icke är fullt sanningsenlig och att kommissionen förts bakom ljuset. Huru härmed förhåller sig, vill och kan jag icke yttra mig om, blott uttala den förhoppningen, att de i skrivelsen lämnade uppgifterna blivit av kommissionen vederbörligen kontrollerade genom fullt ojävig person. Det vore ju sorgligt, om i denna sak icke förts rent spel.</w:t>
        <w:br/>
        <w:br/>
        <w:t xml:space="preserve">Jag vill nu endast tillägga den erinran till de representanter för andra samhällsklasser, som nu gå att skärpa direktiven för hjälpverksamheten till de arbetslösa, att Sveriges industrioch kroppsarbetare, som torde i det närmaste omfatta hälften av den svenska nationen, aldrig skola ändra den uppfattning, som en mansålders bitter erfarenhet rotfäst, att den man eller </w:t>
      </w:r>
      <w:r>
        <w:rPr>
          <w:b/>
        </w:rPr>
        <w:t>kvinna¹</w:t>
      </w:r>
      <w:r>
        <w:rPr>
          <w:b w:val="0"/>
        </w:rPr>
        <w:t>, som under en facklig kamp bringar deras existens i fara, till egen fördel, är en ärelös person. För de allra flesta skola inte ens arbetslöshetens mest pinande svårigheter kunna övervinna motviljan mot strejkbryteri, som mer och mer blir en syssla för blott mindervärdiga samhällsindivider.</w:t>
        <w:br/>
        <w:br/>
        <w:t>Jag ber, herr vice talman, att få yrka bifall till reservanternas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520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