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1729</w:t>
      </w:r>
    </w:p>
    <w:p>
      <w:r>
        <w:rPr>
          <w:b/>
        </w:rPr>
        <w:t xml:space="preserve">Datum: </w:t>
      </w:r>
      <w:r>
        <w:t>1927-04-29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 xml:space="preserve">Det är klart, att man kan som bankoutskottets förutvarande ordförande genom att tala om konsekvenserna, genom litet skrämsel för de konsekvenser, man ser hägra vid ett bifall till förslaget om pension åt denna fattiga </w:t>
      </w:r>
      <w:r>
        <w:rPr>
          <w:b/>
        </w:rPr>
        <w:t>änka²</w:t>
      </w:r>
      <w:r>
        <w:rPr>
          <w:b w:val="0"/>
        </w:rPr>
        <w:t xml:space="preserve"> och </w:t>
      </w:r>
      <w:r>
        <w:rPr>
          <w:b/>
        </w:rPr>
        <w:t>hennes²</w:t>
      </w:r>
      <w:r>
        <w:rPr>
          <w:b w:val="0"/>
        </w:rPr>
        <w:t xml:space="preserve"> barn, få kammaren över på sin sida. På det viset brukar man ofta förtaga den goda vilja att hjälpa, som kan vara tillfinnandes vid många tillfällen. Det kan naturligtvis bli vissa konsekvenser. Det kommer då att gälla änkor och barn, som befinna sig i samma ömmande omständigheter som de här ifrågavarande, att gälla efterlevande till en man, som nödgats lämna anställning i statens tjänst men som, om han fått leva, sedermera helt säkert hade fått komma tillbaka till verksamhet i statens tjänst. Det har i detta fall varit de abnorma förhållanden som gjort, att statens verk måst avskeda en massa folk, som äro orsaken till att denna </w:t>
      </w:r>
      <w:r>
        <w:rPr>
          <w:b/>
        </w:rPr>
        <w:t>änka²</w:t>
      </w:r>
      <w:r>
        <w:rPr>
          <w:b w:val="0"/>
        </w:rPr>
        <w:t xml:space="preserve"> icke nu anses berättigad till pension. Annars skulle </w:t>
      </w:r>
      <w:r>
        <w:rPr>
          <w:b/>
        </w:rPr>
        <w:t>hon²</w:t>
      </w:r>
      <w:r>
        <w:rPr>
          <w:b w:val="0"/>
        </w:rPr>
        <w:t xml:space="preserve"> ansetts såsom berättigad. Jag tycker verkligen, att det inte skulle vara så förfärligt farligt att i ett sådant fall som detta gå med på understöd. Det har ju påvisats, att denne man i statens tjänst verkat i obygderna, där han utbyggt vattenfall, och det kan också hända, att detta arbete varit bidragande till hans tidiga död. Därtill kommer, att hans </w:t>
      </w:r>
      <w:r>
        <w:rPr>
          <w:b/>
        </w:rPr>
        <w:t>änka²</w:t>
      </w:r>
      <w:r>
        <w:rPr>
          <w:b w:val="0"/>
        </w:rPr>
        <w:t xml:space="preserve"> med sina barn befinner sig 1 svåra ekonomiska omständigheter. Jag tycker verkligen då, att riksdagens andra kammare skulle kunna ta på sig ansvaret för att i ett sådant fall bevilja pension. Det vore nog inte så farligt. Värre saker ha vi nog varit med om i denna kammare.</w:t>
        <w:br/>
        <w:br/>
        <w:t>Jag vidhåller, herr talman, mitt yrkande.</w:t>
      </w:r>
    </w:p>
    <w:p>
      <w:pPr>
        <w:pStyle w:val="Heading2"/>
      </w:pPr>
      <w:r>
        <w:t>2. Eric Björnberg (Liberala samlingspartiet, man)</w:t>
      </w:r>
    </w:p>
    <w:p>
      <w:r>
        <w:rPr>
          <w:b w:val="0"/>
        </w:rPr>
        <w:t xml:space="preserve">Herr talman! Jag skulle ville tillägga ytterligare ett par ord. Det är verkligen litet egendomligt, men jag anade det, när jag först yttrade mig, att få höra det, att hindret för att nå fram till ett positivt resultat är konsekvenserna. Konsekvenserna har herr Borggren talat om, likaså herr Winkler, och herr Kristensson i Göteborg kom med storsläggan och sade, att det skulle bli alldeles oerhörda konsekvenser, som skulle hägra, om vi skulle gå med på detta mycket blygsamma men mycket väl motiverade förslag, som innehålles i reservationen. Herrarna torde bemärka, att det gäller 96 kronor om året för vart och ett av de båda barnen, en </w:t>
      </w:r>
      <w:r>
        <w:rPr>
          <w:b/>
        </w:rPr>
        <w:t>dotter²</w:t>
      </w:r>
      <w:r>
        <w:rPr>
          <w:b w:val="0"/>
        </w:rPr>
        <w:t xml:space="preserve"> och en son. </w:t>
      </w:r>
      <w:r>
        <w:rPr>
          <w:b/>
        </w:rPr>
        <w:t>Dottern²</w:t>
      </w:r>
      <w:r>
        <w:rPr>
          <w:b w:val="0"/>
        </w:rPr>
        <w:t xml:space="preserve"> är född 1915 och skulle alltså inte i synnerligen många år åtnjuta den föreslagna förmånen. Hjälpen till barnen skulle icke komma att ta så förfärligt stora hål i statens kassa. </w:t>
      </w:r>
      <w:r>
        <w:rPr>
          <w:b/>
        </w:rPr>
        <w:t>Änkan²</w:t>
      </w:r>
      <w:r>
        <w:rPr>
          <w:b w:val="0"/>
        </w:rPr>
        <w:t xml:space="preserve"> skulle erhålla 384 kronor om året i pension. Det är ju icke något synnerligen stort belopp, i varje fall icke tillräckligt för </w:t>
      </w:r>
      <w:r>
        <w:rPr>
          <w:b/>
        </w:rPr>
        <w:t>hennes²</w:t>
      </w:r>
      <w:r>
        <w:rPr>
          <w:b w:val="0"/>
        </w:rPr>
        <w:t xml:space="preserve"> försörjning. Jag anser, att det således är ett mycket ringa bidrag som vi här gå in för. Jag får vidare säga, att de farhågor för konsekvenserna, som man framställt, synas mig vara uppkonstruerade. Om man skulle gå till en undersökning — jag kan ju icke här prestera den — så skulle man helt säkert finna många analoga fall, där vi under de senaste åren — kanske rent av i dag bland alla de punkter, som här förevarit — gått med på pensioner och understöd, där det varit anledning till fruktan för lika allvarliga konsekvenser som här.</w:t>
        <w:br/>
        <w:br/>
        <w:t>Jag hoppas kammaren är vänlig och biträder reservanternas förslag, vilket är så blygsamt och så välmotiverat som något förslag kan vara.</w:t>
      </w:r>
    </w:p>
    <w:p>
      <w:pPr>
        <w:pStyle w:val="Heading2"/>
      </w:pPr>
      <w:r>
        <w:t>3. Nils Winkler (Lantmanna- och borgarepartiet inom andrakammaren, man)</w:t>
      </w:r>
    </w:p>
    <w:p>
      <w:r>
        <w:rPr>
          <w:b w:val="0"/>
        </w:rPr>
        <w:t>Herr talman! Det förhåller sig ingalunda så, som herr Björnberg ville göra gällande, att detta fall är analogt med många andra, där understöd lämnats. Vi hava i bankoutskottet snart inga principer kvar. Sekretariatet har i alla fall lagt upp ett register över de förhållanden, som förekommit i de fall, där pension eller understöd tidigare beviljats. Vi söka i möjli-</w:t>
        <w:br/>
        <w:br/>
        <w:t>goaste mån hålla fast vid de linjer, som därav framgå, bl. a. att för att pension</w:t>
        <w:br/>
        <w:br/>
        <w:t xml:space="preserve">åt änkor och efterlevande skall tillstyrkas det villkoret uppfylles, att mannen varit i statens tjänst ungefär tjugu år. Skulle vi nu gå ned till 12"/, år, så måste i enlighet med hittills tillämpade kutymer, riksdagen därmed anses hava uttalat den instruktionen till bankoutskottet, att minimitiden skall vara 12", år. Vad det kan betyda kan jag icke räkna ut i siffror, men att det betyder mycket, det kunna herrarna och </w:t>
      </w:r>
      <w:r>
        <w:rPr>
          <w:b/>
        </w:rPr>
        <w:t>damerna²</w:t>
      </w:r>
      <w:r>
        <w:rPr>
          <w:b w:val="0"/>
        </w:rPr>
        <w:t xml:space="preserve"> vara övertygade om. Därtill kommer ett annat moment, det nämligen, att här skall börja tagas i allvarligt övervägande att bevilja pension åt efterlevande till personer, som icke varit i statens tjänst vid sin död. Ty i och med det vi acceptera en sådan synpunkt som den av herr Björnberg och reservanterna framförda, skall framdeles pension kunna beredas åt efterlevande till en person, som avgått från anställning i statens tjänst. vare sig det skedde frivilligt eller på grund av bristande arbete, två år före sin död. Det är orimligt. Jag försäkrar, att en sådan linje kommer att medföra mycket, mycket stora utgifter för riksdagen. Vi kunna inte säga, att därför att herr Björnberg eller någon annan har motionerat, så böra vi acceptera förslaget. Det är mycket möjligt, att det sedan kan komma framställningar med liknande utgångspunkter. Jag skulle vilja i tid varna för ett inslående på en sådan linje. Vi ha ju tidigare i dag fattat ett par beslut, som kunna vara besvärliga nog. Detta skulle dock vara det mest allvarliga av dem alla. Jag vill ännu en gång säga, att det väl icke kan vara meningen, att riksdagen eller bankoutskottet skall tjänstgöra såsom fattigvårdsstyrelse. Frågor av dylika slag få nog ordnas på annat sätt, ty staten kan inte pensionera alla nödlidande änkor och efterlevande, oavsett huru länge vederbörande familjeförsörjare varit 1 statens tjänst. Därtill kommer, att jag anser att det kan vara mycket oberättigat att lämna så ansenliga företräden för fattiga människor, vilkas män en kortare tid varit i statens tjänst, men lämna alla efterlevande till i privat tjänst anställda åt sitt öde.</w:t>
        <w:br/>
        <w:br/>
        <w:t>Jag hemställer ännu en gång, att kammaren måtte acceptera bankoutskottets förslag.</w:t>
      </w:r>
    </w:p>
    <w:p>
      <w:pPr>
        <w:pStyle w:val="Heading2"/>
      </w:pPr>
      <w:r>
        <w:t>4. Helge Bäcklund (Socialdemokraterna, man)</w:t>
      </w:r>
    </w:p>
    <w:p>
      <w:r>
        <w:rPr>
          <w:b w:val="0"/>
        </w:rPr>
        <w:t xml:space="preserve">Jag vill ingalunda bestrida riktigheten av herr Winklers yttrande, att man i bankoutskottet bör följa vissa principer. Det går emellertid rätt bra många gånger att gå vid sidan av dem. Det gick ju för sig i ett fall för en stund sedan, där man utgick från en professorspension och talade varmt och vackert för den sak, som då förelåg. Men då det gäller denna fattiga </w:t>
      </w:r>
      <w:r>
        <w:rPr>
          <w:b/>
        </w:rPr>
        <w:t>änka²</w:t>
      </w:r>
      <w:r>
        <w:rPr>
          <w:b w:val="0"/>
        </w:rPr>
        <w:t>, då är det så farligt med principerna, då försöker man skrämma kammaren med de farliga konsekvenserna.</w:t>
        <w:br/>
        <w:br/>
        <w:t xml:space="preserve">Det förhåller sig nu på det sättet, att man i finansdepartementet håller på med en utredning, en efterträdare till 1921 års pensionskommitté angående pensionsförhållandena för den extra personalen i statens verk och med syfte att praktiskt taget alla sådana befattningshavare skola erhålla pension. Om den vu ifrågavarande befattningshavaren fått leva, skulle han också ha kunnat komma med och fått en egen pension. Desutom försöker man — det vet jag åtminstone beträffande det verk, jag tillhör, där jag är med i en kommitté — ordna frågan om </w:t>
      </w:r>
      <w:r>
        <w:rPr>
          <w:b/>
        </w:rPr>
        <w:t>änkeoch²</w:t>
      </w:r>
      <w:r>
        <w:rPr>
          <w:b w:val="0"/>
        </w:rPr>
        <w:t xml:space="preserve"> barnpensioner även för extra befattningshavare. Detta har också riksdagen uttalat sig för, och man skulle genom denna frågas ordnande slippa alla dessa väldigt tråkiga frågor, att debattera om folks behov av pension. Önskemålet är, att var och en anställd, även extra, skall få tillfälle att pensionera sin familj genom erläggande av pensionsavgifter. Dessa skulle vara berättigade, även om de skulle få avsked eller tvångspermission, som det kallas i vissa statens verk, att tillhöra pensionskassan. På det sättet skulle man komma ifrån alla dessa besvärliga saker. Jag tror inte, att herr Winkler har kännedom om, att det ligger till på det sättet. Jag frågar då:</w:t>
        <w:br/>
        <w:br/>
        <w:t>kunna konsekvenserna bli så synnerligen stora, när vi gått in för pensioner även för extra befattningshavare, för vilka pensionen automatiskt regleras även vid förekommande luckor i tjänstgöring? Denna sak var icke ordnad av staten, när denne man tjänstgjorde. På den grunden vill jag tillbakavisa påståendet om konsekvenserna, som man nu spelar ut och som man vill skrämma riksdagens andra kammare med. Jag tror, att de skäl, jag har angivit, äro alldeles tillräckliga för att bevisa, att någon fara för konsekvenser icke är för handen, utan att dessa frågor komma att regleras automatiskt, varigenom vi slippa ifrån behandlingen av sådana pensionsfrågor i riksdagen. Jag vidhåller, herr talman,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