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1743</w:t>
      </w:r>
    </w:p>
    <w:p>
      <w:r>
        <w:rPr>
          <w:b/>
        </w:rPr>
        <w:t xml:space="preserve">Datum: </w:t>
      </w:r>
      <w:r>
        <w:t>1927-05-21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Jansson (Frisinnade folkpartiet, man)</w:t>
      </w:r>
    </w:p>
    <w:p>
      <w:r>
        <w:rPr>
          <w:b w:val="0"/>
        </w:rPr>
        <w:t>Herr talman! En föregående talare, herr Lindqvist i Halmstad, började sitt anförande med att säga, att han icke varit närvarande, då detta ärende behandlades i utskottet. Men lika fullt fick man höra, huru det gått till under utskottsbehandlingen. Jag förstår icke, huru detta är möjligt -— kanske han har fått upplysningar från något annat håll?</w:t>
        <w:br/>
        <w:br/>
        <w:t>Eftersom herr Lindqvist emellertid blottat åtskilliga interiörer från utskottet, vill jag meddela, att när lagförslaget först behandlades i utskottet, voro vi samfällt av den meningen, att det borde antagas. Men olyckligtvis var det någon, som hittade det misshagliga uttrycket »föremål» i lagförslaget. Och emedan detta ord står i preventivlagen, kunde man naturligtvis icke använda detsamma, och då man icke hade något annat att sätta i stället, blev detta skäl för lagens avstyrkande.</w:t>
        <w:br/>
        <w:br/>
        <w:t xml:space="preserve">Då nu ifrågavarande lagförslag utarbetats och tillstyrkts av jurister, anser Jag det rent av icke tillständigt av tidningsmän att påstå, i strid med vad juristerna säga, att tidningsgummor och andra skulle bli straffbara, därför att de bära ut tidningar med dylika annonser. Man har ju på juristhåll bestämt förklarat, att ingen domare skulle kunna fälla i sådana fall, och herr Kristensson frambhöll för resten, att även om en tidningsgumma skulle fällas till fem kronors böter för en dylik förseelse, komme nog utgivaren av tidningen att betala dem. Det är väl för övrigt ingen tidningsgumma, som går igenom tidningarna och ser efter vad som står där, innan </w:t>
      </w:r>
      <w:r>
        <w:rPr>
          <w:b/>
        </w:rPr>
        <w:t>hon²</w:t>
      </w:r>
      <w:r>
        <w:rPr>
          <w:b w:val="0"/>
        </w:rPr>
        <w:t xml:space="preserve"> bär ut dem till vederbörande ägare. Herr Kristensson har även vitsordat, att bankofullmäktige liksom Justitieombudsmannen begärt en lag i förevarande syfte. Men bara därför att lagförslaget kom fram i år, vill man avslå detsamma. Hade det kommit ett annat år, skulle man säkerligen gått med på saken. Jag tycker för min del, att sådana skäl icke äro tilltalande, och jag måste reagera mot desamma.</w:t>
        <w:br/>
        <w:br/>
        <w:t>Jag ber att få yrka bifall till Kungl. Maj:ts förslag.</w:t>
      </w:r>
    </w:p>
    <w:p>
      <w:pPr>
        <w:pStyle w:val="Heading2"/>
      </w:pPr>
      <w:r>
        <w:t>2. Oscar Johanson (Folkpartiet, man)</w:t>
      </w:r>
    </w:p>
    <w:p>
      <w:r>
        <w:rPr>
          <w:b w:val="0"/>
        </w:rPr>
        <w:t>Herr talman! Jag var icke närvarande, då utskottet justerade sitt betänkande och är därför icke bunden vid allt vad utskottet skrivit. Inom utskottet var man från början enig om att det oskick, som nu förekommer med ifrågavarande reklamsedlar, borde stävjas, men delade meningar gjorde sig gällande angående det sätt, varpå detta borde ske. Det var icke blott uttrycket »föremål», som skilde oss åt, utan man befarade, att med den kungl. propositionens avfattning vissa människor kunde komma att straffas som strängt taget voro ganska oskyldiga. Därför uttalade vi oss för</w:t>
        <w:br/>
        <w:br/>
        <w:t>att man mera borde försöka träffa anstiftaren eller tillverkaren och icke så Ang. lag mycket hålla sig till dem, som sprida reklamsedlar. Pad an Det skäl, som anförts av herr justitieministern för bifall, att i fall riksdagen sprida efteravslår den kungl. propositionen skulle detta komma att tagas till intäkt för bildning av eller rentav uppmuntra detta oskick, har jag för min del övervägt, och var till penningsede!. en början betänkt på att yrka bifall till propositionen. Men med tanke på (Forts) att jag därigenom skulle bidraga till en lagstiftning, varigenom måhända oskyldiga människor kunde träffas av straff, får man icke överdriva den fara,</w:t>
        <w:br/>
        <w:br/>
        <w:t>som på nämnda sätt lätt kunde uppstå, varför jag ansåg det klokast att gå</w:t>
        <w:br/>
        <w:br/>
        <w:t>med på utskottets avslagsyrkande. Om detta yrkande bifalles, önskar jag</w:t>
        <w:br/>
        <w:br/>
        <w:t>dock, att ett lagförslag i ämnet till kommande år framlägges och att därvid</w:t>
        <w:br/>
        <w:br/>
        <w:t>de synpunkter, som framhållits att mera söka träffa anstiftaren bliva beaktade.</w:t>
        <w:br/>
        <w:br/>
        <w:t>Jag har icke velat göra mig medansvarig i ett beslut, som trots de försäkrin-</w:t>
        <w:br/>
        <w:br/>
        <w:t>gar, som här givits både av herr justitieministern och även andra, att mina</w:t>
        <w:br/>
        <w:br/>
        <w:t>farhågor är ogrundade, icke kunnat, på grund av ordalagen i lagtexten göra</w:t>
        <w:br/>
        <w:br/>
        <w:t>mig fri från den uppfattningen, att man med lagen skulle träffa även oskyl-</w:t>
        <w:br/>
        <w:br/>
        <w:t>digt folk. På grund härav ber jag att få yrka bifall till utskottets förslag.</w:t>
      </w:r>
    </w:p>
    <w:p>
      <w:pPr>
        <w:pStyle w:val="Heading2"/>
      </w:pPr>
      <w:r>
        <w:t>3. Theodor af Ekenstam (Lantmanna- och borgarepartiet inom andrakammaren, man)</w:t>
      </w:r>
    </w:p>
    <w:p>
      <w:r>
        <w:rPr>
          <w:b w:val="0"/>
        </w:rPr>
        <w:t>Herr talman! Jag kan i likhet med ett par föregående talare börja med att säga, att jag icke varit med om utskottets behandling av denna fråga. Jag skulle icke heller besvärat kammaren med att yttra mig, om jag icke kände en viss plikt som gammal domare att göra detta, och det är i sådan egenskap, som jag skulle vilja säga några ord.</w:t>
        <w:br/>
        <w:br/>
        <w:t>Här är som nämnts fråga om en ordningsstadga, varigenom man vill försöka stävja ett okynne, som är konstaterat och verkligen i åtskilliga avseenden haft rätt otrevliga följder. Man säger nu, att den lag, som Kungl. Maj:t föreslagit, är nästan för vidsträckt för att kunna fylla sin uppgift, och en talare på kronobergsbänken yttrade, att han hade anledning att ställa lagrådet i motsatsförhållande till herr justitieministern härvidlag. Jag undrar verkligen om han har anledning till detta! Jag undrar fastmera, om han icke snarare, ifall han läser igenom allt som hör till detta ämne, skall finna, att de anmärkningar från lagrådets sida, som varit av vikt och värde, upptagits av herr justitieministern, och att den ändring i den ursprungligen avsedda lagen, som åsyftats med dessa anmärkningar, kommit till stånd. Det torde väl därför, om man betraktar denna lag som en ordningsstadga, icke vara alltför oriktigt att antaga, att när dylika fall komma under rikets domstolars prövning, domarna i allmänhet skola ha det sunda omdöme, att de tillämpa lagen på det sätt, som är avsett.</w:t>
        <w:br/>
        <w:br/>
        <w:t xml:space="preserve">Man har framhållit som en synnerligen vägande anledning att nu avslå lagen, att den skulle drabba oskyldiga, och i all synnerhet har det varit tidningsgumman, som man haft ett förfärligt stort medlidande med. Jag kan verkligen med 40-årig verksamhet som domare säga, att jag sannerligen aldrig skulle fällt en tidningsgumma i liknande fall. </w:t>
      </w:r>
      <w:r>
        <w:rPr>
          <w:b/>
        </w:rPr>
        <w:t>Hon²</w:t>
      </w:r>
      <w:r>
        <w:rPr>
          <w:b w:val="0"/>
        </w:rPr>
        <w:t xml:space="preserve"> går där snart sagt som ett mekaniskt redskap för tidningsutgivaren. </w:t>
      </w:r>
      <w:r>
        <w:rPr>
          <w:b/>
        </w:rPr>
        <w:t>Hon²</w:t>
      </w:r>
      <w:r>
        <w:rPr>
          <w:b w:val="0"/>
        </w:rPr>
        <w:t xml:space="preserve"> lämnar sin tidning i våningens postlucka, och vad </w:t>
      </w:r>
      <w:r>
        <w:rPr>
          <w:b/>
        </w:rPr>
        <w:t>hon²</w:t>
      </w:r>
      <w:r>
        <w:rPr>
          <w:b w:val="0"/>
        </w:rPr>
        <w:t xml:space="preserve"> vet eller icke vet om innehållet behöver man sannerligen icke taga någon hänsyn till. </w:t>
      </w:r>
      <w:r>
        <w:rPr>
          <w:b/>
        </w:rPr>
        <w:t>Hon²</w:t>
      </w:r>
      <w:r>
        <w:rPr>
          <w:b w:val="0"/>
        </w:rPr>
        <w:t xml:space="preserve"> har därvidlag icke någon som helst sådan skuld, att jag tror, att någon förståndig domare skulle anse sig böra ådöma </w:t>
      </w:r>
      <w:r>
        <w:rPr>
          <w:b/>
        </w:rPr>
        <w:t>henne²</w:t>
      </w:r>
      <w:r>
        <w:rPr>
          <w:b w:val="0"/>
        </w:rPr>
        <w:t xml:space="preserve"> ens en femma som böter.</w:t>
        <w:br/>
        <w:br/>
        <w:t>Man har också sagt, att det skulle innebära en förfärlig fara, om innan denna lag träder i kraft reklamkort blivit utsända och kringspridda; åklagaren skulle finna anledning att ingripa mot dem som icke vore på något sätt skyldiga till ett förfarande, vilket tidigare icke varit belagt med straff. Men tro verkligen icke herrarna i allmänhet, att om ett sådant åtal komme till stånd, det skulle vara jämförelsevis lätt för den tilltalade att styrka, att re-</w:t>
        <w:br/>
        <w:br/>
        <w:t>klamkorten kommit ut långt innan lagen trätt i kraft, varigenom förfarandet naturligtvis blir straffritt?</w:t>
        <w:br/>
        <w:br/>
        <w:t>Det har slutligen sagts, att det allra bästa vore, om tidningsutgivareföreningen toge sig an denna sak och man överenskomme att icke låta periodiska organ införa sådana annonser. Ja, det vore ju utmärkt förstås, men tro icke herrarna, att föreningen skulle ha så mycket större anledning att medverka till en sådan överenskommelse, och hålla densamma, om lagen nu antoges? Detta är åtminstone min åsikt. Då nu ofoget är konstaterat, bör man icke låta det passera utan vidare, och skylla än på ett än på ett annat. Man bör sannerligen ur alla synpunkter kunna antaga denna lag; farligare är det icke. Jag hemställer, herr talman, om bifall till den kungl.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