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541</w:t>
      </w:r>
    </w:p>
    <w:p>
      <w:r>
        <w:rPr>
          <w:b/>
        </w:rPr>
        <w:t xml:space="preserve">Datum: </w:t>
      </w:r>
      <w:r>
        <w:t>1927-06-01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Olsson (Socialdemokraterna, man)</w:t>
      </w:r>
    </w:p>
    <w:p>
      <w:r>
        <w:rPr>
          <w:b w:val="0"/>
        </w:rPr>
        <w:t>Herr talman! Paragraf 63 i riksdagsordningen stadgar, att för den händelse kamrarna stanna i olika beslut, skall vederbörande utskott söka att sammanjämka de olika meningarna — såvida möjligt är, som det står. Vi ha nu att fatta ståndpunkt till en sådan sammanjämkning, men innan jag går att i ett sammanhang beröra de båda punkter, som här föreligga, anser jag mig på grund av vad som förekom i utskottet böra göra ett par rätt banala anmärkningar.</w:t>
        <w:br/>
        <w:br/>
        <w:t>Den första är denna, att besluten ju vanligtvis inte bestå bara av klämmar utan också av motiveringar. Och dessa motiveringar och klämmar stå 1 ett sådant inbördes sammanhang, att klämmarna inte peka åt ett håll och motiveringarna åt ett annat. Men motiveringarna ha aldrig fått spela en självständig roll vid sidan av klämmarna. Klämmarna äro huvudsaken, och motiveringarna spela endast rollen att belysa klämmarna. När det därför i paragraf 63 står, att vederbörande utskott skall söka sammanjämka de olika meningarna, betyder detta inte någonting annat än att sammanjämka de olika klämmarna — naturligtvis med ledning av vad som kan stå i motiveringarna. Och denna motiveringarnas osjälvständiga roll har fastslagits av praxis. De ha ytterst sällan varit föremål för sammanjämkning. De ha stympats, när kamrarna varit oense om dem på olika punkter, och när kamrarna varit alldeles oense, ha de fallit bort.</w:t>
        <w:br/>
        <w:br/>
        <w:t>Den andra anmärkningen är den, att sammanjämkning inte kan ske, för den händelse kamrarnas beslut inte äro positiva, d. v. s. för den händelse kam-</w:t>
        <w:br/>
        <w:br/>
        <w:t>rarna inte vilja någonting i någon viss riktning — i varje fall bort från det nuvarande. Om således första kammaren vill en sak, och andra kammaren inte vill den — i de flesta fall har det ju varit tvärtom — kan ingen samman-</w:t>
        <w:br/>
        <w:br/>
        <w:t>Jämkning ske. Detta är också något, som har fastslagits av en lång praxis, och det förändras inte av den omständigheten, som ju inträffat rätt ofta, att vid en sammanjämkning av större lagkomplex man handlat efter principen do ut des, d. v. s. »tar du det, så tar jag det, och släpper du det, så släpper Jag det».</w:t>
        <w:br/>
        <w:br/>
        <w:t>Om jag nu efter dessa föranmärkningar går till den fråga, som det här gäller, kan det sägas, att kamrarnas beslut i den här saken, kamrarnas sakbeslut, om jag får använda den glosan, falla under riksdagsordningens 63 $ mom. 4, som lyder: »Vad kamrarna sammanstämmande besluta, det vare riksdagens beslut.» Vad riksdagen har beslutat är nämligen följande: Riksdagen har bemyndigat »Kungl. Maj:t att med aktgivande å de synpunkter, utskottet i det föregående gjort gällande, utfärda erforderliga föreskrifter angående planläggningen av arbetet inom gymnasium och lyceum». Detta är kamrarnas samstämmiga sakbeslut, men det syftar onekligen tillbaka på motiveringen — »med aktgivande å de synpunkter, utskottet i det föregående gjort gällande». Det är uppenbarligen så, att kläm och motivering här stå i ett mera intimt samband med varandra än som vanligtvis brukar vara fallet, och att man har svårt att riktigt förstå, vad klämmen här skall betyda, för den händelse man inte går tillbaka till motiveringen.</w:t>
        <w:br/>
        <w:br/>
        <w:t>Då jag ser saken uteslutande från konstitutionell synpunkt, menar Jag, att jag mycket väl kan ta allt vad som står under memorialets »II. Angående utskottets motivering» i ett sammanhang, och om jag då tar studentexamen först, beror detta därpå, att jag finner den vara lättast. Här ligger det så, att båda kamrarna ha godkänt motiveringen. Denna innebar, att utskottet inte kunde tillstyrka någon av de motioner, som funnos här, varken den socialdemokratiska motionen eller herr Lindhagens eller herr Järtes. Men dessutom har andra kammaren bifallit reservationen, som ju innebar en skrivelse till Kungl. Maj:t. Första kammaren har, som vi alla veta, avslagit detta skrivelseförslag. Här har följaktligen den oformligheten ägt rum i andra kammaren, att man där bifallit skrivelseförslaget, men glömt att ur motiveringen rycka ut det stycke, där kammaren redan fattat beslut om att avslå de motioner från de olika kamrarna, som innehöllo förslag om en sådan skrivelse. Här ligger det följaktligen rent sakligt så, att andra kammaren vill skriva, första kammaren däremot vill inte, och det har förefallit mig, som om det således på den punkten inte förelåg den nödvändiga grunden för en sammanjämkning. Jag har därför inom utskottet förfäktat den meningen, att en sammanjämkning i det här fallet enligt vanlig konstitutionell praxis inte gärna kan äga rum.</w:t>
        <w:br/>
        <w:br/>
        <w:t xml:space="preserve">Går jag därefter till den andra frågan, som i utskottets memorial kommer först, nämligen frågan om kristendomen, ligger saken så, att där ha båda kamrarna godkänt utskottets organisationsförslag ifråga om gymnasiet. Detta innebar ju, att man på gymnasiet skulle läsa sju ämnen, fördelade så att de fyra skulle utgöra en obligatorisk kärna och de tre återstående skulle kunna väljas till enligt alldeles fria tillval. Det innebar, vad kristendomen beträffar, inte, att den skulle avskaffas; det innebar endast, att det ämnet komme att spela samma roll som alla de övriga icke-obligatoriska ämnena. Men vid sidan av detta har första kammaren </w:t>
      </w:r>
      <w:r>
        <w:rPr>
          <w:b/>
        </w:rPr>
        <w:t>flickat²</w:t>
      </w:r>
      <w:r>
        <w:rPr>
          <w:b w:val="0"/>
        </w:rPr>
        <w:t xml:space="preserve"> in en passus, enligt vilken ämnet kristendom skulle bibehålla sin nuvarande obligatoriska ställning. I denna kammare har således också skett en oformlighet. Sammanjämkningen, som man nu begärt av utskottet, borde egentligen ha skett redan här i kammaren på det sättet, att förslagsställaren inarbetat denna passus i utskottets motivering 1 övrigt, ty så, som det nu står, strida dessa båda anvisningar emot varandra.</w:t>
        <w:br/>
        <w:br/>
        <w:t xml:space="preserve">Det är motsatser, som inte kunna förenas, och redan av detta skäl synes det mig, Sammanjämlkatt en saklig sammanjämkning var svår att göra inom utskottet. Men även ningsförslag om man tänker sig, att det, som </w:t>
      </w:r>
      <w:r>
        <w:rPr>
          <w:b/>
        </w:rPr>
        <w:t>flickats²</w:t>
      </w:r>
      <w:r>
        <w:rPr>
          <w:b w:val="0"/>
        </w:rPr>
        <w:t xml:space="preserve"> in, hade stått i ett naturligt sammande nsunder. hang med det andra — antingen varit en begränsning eller en utvidgning av visningen å utskottets motivering — menar jag, att efter vanlig konstitutionell praxis någon g9ymnasiet. sammanjämkning ändå inte kunnat äga rum utan att den del, som man här i (Forts) kammaren </w:t>
      </w:r>
      <w:r>
        <w:rPr>
          <w:b/>
        </w:rPr>
        <w:t>flickat²</w:t>
      </w:r>
      <w:r>
        <w:rPr>
          <w:b w:val="0"/>
        </w:rPr>
        <w:t xml:space="preserve"> in, borde ha fallit bort ur motiveringen. Vi ha nämligen i sammanjämkningarnas historia otroligt många exempel på att så förfarits, och det är förmodligen endast undantagsvis — jag känner personligen inga sådana fall — då man förfarit annorlunda. Den sammanjämkning, som skedde år 1900 i rösträttsfrågan, är ett klassiskt exempel. Den gången voro båda kamrarna eniga om en skrivelse till Kungl. Maj:t om en fullständig och fördomsfri utredning av den politiska rösträttsfrågan, men motiveringarna från de olika kamrarna innehöllo rätt olika saker och ting. Konstitutionsutskottet lade fram ett förslag, där man samvetsgrant hade rensat ut allt sådant, som första kammaren hade bifallit, men andra kammaren avslagit. Och detta har sedermera varit dagligt bröd. Vi hade ju för en fjorton dagar eller tre veckor sedan ett bevillningsutskottsutlåtande angående ny tullutredning, där andra kammaren strök en del av motiveringen, som den ansåg vara farlig. Jag har frågat bevillningsutskottets ordförande, om detta kommer att vålla utskottet några svårigheter, då det gäller att redigera riksdagsskrivelsen, och han har förklarat, att så kommer inte att ske. Den punkt, som man strök i andra kammaren, kommer att falla bort av sig själv i skrivelsens motivering.</w:t>
        <w:br/>
        <w:br/>
        <w:t>Jag har därför inom utskottet menat, att antingen klämmen är oberoende av motiveringen — således är förståelig utan denna — eller på visst sätt är beroende av motiveringen, d. v. s. verkar tom utan denna, så har den konstitutionell praxis i det stora hela — riksdagen gör ju då och då ett litet språng åt sidan — varit denna, att vad riksdagens båda kamrar i motiveringen varit ense om, det har ingått i riksdagens skrivelser, vad man däremot i motiveringen varit oense om, det har fallit bort. Jag har inte ansett, att det funnits någon som. helst anledning att i förevarande fråga gå ifrån denna praxis.</w:t>
        <w:br/>
        <w:br/>
        <w:t>Men om det nu är på det viset, att denna min uppfattning är riktig och delas av kammarens talman, då är det ju inte någon anledning för mig att framställa något yrkande. Skulle den däremot inte delas av kammarens talman, då är ett yrkande om avslag möjligen onödigt, och jag kommer vid sådant förhållande att subsidiärt stödja utskottets sammanjämkningsförslag.</w:t>
      </w:r>
    </w:p>
    <w:p>
      <w:pPr>
        <w:pStyle w:val="Heading2"/>
      </w:pPr>
      <w:r>
        <w:t>2. Carl Axel Reuterskiöld (Utan partibeteckning, man)</w:t>
      </w:r>
    </w:p>
    <w:p>
      <w:r>
        <w:rPr>
          <w:b w:val="0"/>
        </w:rPr>
        <w:t>Herr talman, mina herrar! När man talar om en motivering, menar man ju i allmänhet anförandet av de skäl, på vilka klämmen stöder sig. Men i en motivering i vidsträckt mening kan även ingå ett supplement till klämmen. I motiveringen kan man intaga vissa uttalanden, till vilka klämmen hänvisar, icke såsom skäl utan såsom moment i själva klämmen, fastän de formellt fått stanna kvar i motiveringen. Den praxis, som då tillämpas rörande motiveringar i deras egenskap av anförande av skäl för en kläm, kan icke gärna åberopas för behandling på samma sätt av motiveringar av det andra slaget.</w:t>
        <w:br/>
        <w:br/>
        <w:t>I det nu föreliggande fallet måste jag för min del säga, att även om jag skulle kunna vara med om att låta vanlig praxis rörande motiveringar tilllimpas — det kan man ju mycket väl göra även på det här andra, om man så vill — så finns dock icke något tvingande skäl till att göra det. Jag</w:t>
        <w:br/>
        <w:br/>
        <w:t xml:space="preserve">skall nu tillåta mig att taga ett exempel från 1909. Då förelåg ett fall så fullkomligt likartat med detta, att det är precedensfall just för den nu föreliggande frågan: 1909 års riksdag hade att behandla en kungl. proposition angående statsbidrag till enskilda läroverk och kommunala mellanskolor. I det särskilda utskottets nr 2 betänkande nr 4 fanns en punkt under I D 8, som lydde: »Skolan skall stå under inseende av överstyrelsen för rikets allmänna läroverk samt vara underkastad den kontroll och de bestämmelser i övrigt, som Kungl. Maj:t kan finna gått föreskriva.» I motiveringen fanns av utskottet följande uttalat: »I överensstämmelse med den av motionärerna uttalade uppfattningen anser utskottet, att inspektionen över de hygieniska förhållandena vid statsunderstödda </w:t>
      </w:r>
      <w:r>
        <w:rPr>
          <w:b/>
        </w:rPr>
        <w:t>flickskolor²</w:t>
      </w:r>
      <w:r>
        <w:rPr>
          <w:b w:val="0"/>
        </w:rPr>
        <w:t xml:space="preserve"> icke vidare bör tillkomma eforalstyrelserna, utan i likhet med inspektionen i övrigt ombesörjas av överstyrelsen för rikets allmänna läroverk. Däremot anser utskottet lämpligt, att i de ytterligare bestämmelser, som Kungl. Maj:t torde komma att utfärda rörande undervisningen i dessa skolor, den bestämmelse intages, att det tillkommer vederbörande eforus att hava uppsikt över det sätt, på vilket kristendomsundervisningen handhaves, i likhet med vad som gäller beträffande allmänna läroverk. Vad utskottet sålunda anfört, bör enligt utskottets mening äga tillämpning på inspektionen över statsunderstödda kommunala och enskilda mellanskolor.&gt; Detta föranledde skilda beslut i kamrarna. Första och andra kammaren biföllo punkten I D 8, klämmen alltså, identiskt lika men i första kammaren togs en motivering i enlighet med en reservation av herr von Mentzer. I andra kammaren togs en formulering i överensstämmelse med en reservation av herr Berg, och dessa två motiveringar skilde sig i den punkten, att andra kammaren tog bort det stycke, som handlade om kristendomsundervisningen, under det att första kammaren biföll herr von Mentzers formulering av förslaget rörande inspektion över kristendomsundervisningen. Särskilda utskottet nr 2 kom i sitt memorial nr 5 under 1:0) med förslag till sammanjämkning angående slutyrkandena och under 2:0) med förslag rörande sammanjämkning angående motiveringen, och i detta sammanjämkningsförslag hemställde utskottet, att båda kamrarna med frånträdande av sina beslut rörande motiveringen skulle godkänna vad utskottet från början föreslagit i motiveringen. Jag må säga, att både frågans art och behandlingssätt och själva föremålet för den tvistefrågan är så överensstämmande med vad som nu föreligger, att man måste erkänna, att det är ett verkligt precedensfall.</w:t>
        <w:br/>
        <w:br/>
        <w:t>Går jag nu till det i dag föreliggande fallet, tillåter jag mig först och främst erinra om, att i den föredragningsordning, som var bestämd, fanns bl. a. bestämmelsen att sedan punkterna I A och C—H blivit genomgångna och likaledes B, »därefter, därest yrkanden framställts om ändring i utskottets motivering, i vad denna sammanhänger med utskottets hemställan under I. A—H, beslut fattas beträffande dessa yrkanden, att sedermera utskottets hemställan under avdelningen I punkt I föredrages momentvis med förbigående tills vidare av dess inledning», etc., »varefter inledningen till utskottets hemställan under avdelningen I föredrages». Nu hade utskottet under I. I hemställt om det beslut, som den föregående ärade talaren har relaterat, »med aktgivande å de synpunkter, utskottet i det föregående gjort gällande» beträffande föreskrifter angående planläggningen av arbetet inom gymnasium och lyceum. Därmed har man ju i själva klämmen inryckt vissa direktiv, som äro angivna i motiveringen icke såsom motivering, ty här är ej fråga om skäl för klämmen TI, utan såsom komplement till vad klämmen innehåller. Formellt föreligger en överensstämmelse i kamrarnas beslut rörande klämmen, men reellt föreligger en olikhet, och denna olikhet hänför sig till två punkter, d. v. s. framför allt till första kammarens beslut angående kristendomsundervisningen.</w:t>
        <w:br/>
        <w:br/>
        <w:t>Beträffande den andra punkten angående studentexamen är ju förhållandet</w:t>
        <w:br/>
        <w:br/>
        <w:t>det, att intet yrkande framförts under punkt I, vare sig under litt. A—T i nå- Sammanjämkgondera kammaren rörande denna motiverings ändring, utan kamrarna ha biningsförslag fallit densamma. Däremot kom under avdelning III i utskottets betänkande Bra EE den socialdemokratiska motionen, som avsåg studentexamen. Strängt taget var visningen å ju frågan om studentexamen — i och med att punkt I bifallits med därtill högymnasiet. rande motivering — också bifallen och i alla händelser slutbehandlad, men 1 = (Forts) allt fall upptogs den som ännu icke slutbehandlad under avdelning III, och där var det, som andra kammaren biföll motionen, under det att första kammaren avslog densamma. Det skrivelseförslag, som där var i fråga, har alltså förfallit, och utskottet har icke haft någon anledning att gå in på någon sammanjämkning därvidlag. Men nu visar det sig, att inom utskottet föreligger det olika meningar om vad skrivelseförslaget skall innehålla, i anledning av dessa beslut. Då gör man å ena sidan gällande, att det är en lapsus av andra kammaren, att man icke ändrat motiveringen i fråga om studentexamen. andra sidan gör man gällande, att första kammarens beslut rörande kristendomsundervisningen skulle medföra, att icke blott det tillagda stycket faller bort utan att hela motiveringen, som avser gymnasieundervisningens anordnande, skall falla bort. Det förefaller mig, som om det vore den enklaste och mest naturliga vägen, att man för att icke ånyo få denna strid, när man skall justera skrivelsen, kommer till en överenskommelse rörande motiveringen i det sammanjämkningsförslag, som nu är framlagt. Man kan ju realiter säga det, att andra kammaren har genom bifall i tredje punkten till förslaget om skrivelse rörande studentexamen tillika uttalat sig för att den icke är med på den motivering, som förefinnes rörande studentexamens bibehållande, och man kan ju likaledes säga angående kristendomsundervisningen, att beslutet är formellt illa utformat, att det icke passar in i det sammanhang det nu helt oförmedlat blivit ställt. Men meningen har utan tvivel varit att detta sammanhang skulle ändras. Då har jag att välja mellan en rent formell väg och en reell väg. Jag föredrar för min del den reella vägen att försöka sammanjämka, på det sätt som utskottet har föreslagit, både första kammarens ståndpunkt och andra kammarens ståndpunkt i de skilda frågorna, bägge två sammanhållna av punkten I. I i klämmen, som hänvisar till motiveringen, angår just gymnasiets organisation och undervisningsplan. Det är just dessa formella synpunkter med reellt avseende fästat på den svårighet, som framdeles eljest skulle komma att uppstå, därest inom utskottet olika meningar skulle göras gällande beträffande riksdagens skrivelse — och med all säkerhet kommer det att bli olika meningar — som jag anser klokast och riktigast att taga sammanjämkningen och därmed få klarhet om vad skrivelsen skall innehålla. Jag skall icke i detta sammanhang tillåta mig att ingå på själva sakfrågan om det sätt, på vilket sammanjämkningen har skett. För närvarande, herr talman, ber jag att få yrka bifall till utskottets förslag i punkt 1:0) rörande sammanjämkning av motiveringen.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541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