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542</w:t>
      </w:r>
    </w:p>
    <w:p>
      <w:r>
        <w:rPr>
          <w:b/>
        </w:rPr>
        <w:t xml:space="preserve">Datum: </w:t>
      </w:r>
      <w:r>
        <w:t>1927-06-01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Georg Dahl (Moderata samlingspartiet, man)</w:t>
      </w:r>
    </w:p>
    <w:p>
      <w:r>
        <w:rPr>
          <w:b w:val="0"/>
        </w:rPr>
        <w:t>Herr talman! Av den reservation, som finnes vidfogad utskottets betänkande, framgår, att jag icke kunnat biträda dess mening. Jag ber nu att med några ord få utveckla den uppfattning, som legat till grund för reservationen.</w:t>
        <w:br/>
        <w:br/>
        <w:t>Reservanterna ha icke ansett nödigt att ingå på någon prövning av lagligheten av sättet för restaurangbolagens tillkomst. Ej heller vilja vi fälla något omdöme om lämpligheten beträffande denna anordning i och för sig, om vi också finna vad motionären i detta avseende anfört, vara värt allt beaktande.</w:t>
        <w:br/>
        <w:br/>
        <w:t xml:space="preserve">Däremot hava vi funnit de former, varunder dessa bolag utöva sin verksamhet, i vissa avseenden påkalla statsmakternas uppmärksamhet. Detta gäller i främsta rummet bristen på kontroll och behovet att begränsa bolagsledningarnas handlingsfrihet. För närvarande tyckes denna ganska obeskuren. Kontrollstyrelsen inlåter sig sålunda icke, efter vad den meddelat, på någon förhandsprövning av restaurangbolagens inköp av restauranger och fastigheter. Styrelsens samtycke har icke inhämtats ens vid en affär av så omfattande dimensioner som Stockholms allmänna restaurangaktiebolags inköp av aktiebolaget Fenixpalatset. Styrelsen anser och förklarar uttryckligen, att då dessa bolag stå helt under systembolagens kontroll och i övrigt som varje annat aktiebolag äro underkastade för dem gällande lagstiftning, i kontrollhänseende ingenting brister. Men vad innebär nu detta? Jo, just det, att systembolagen genom att överflytta sin utskänkningsrörelse på ett </w:t>
      </w:r>
      <w:r>
        <w:rPr>
          <w:b/>
        </w:rPr>
        <w:t>dotterbolag²</w:t>
      </w:r>
      <w:r>
        <w:rPr>
          <w:b w:val="0"/>
        </w:rPr>
        <w:t xml:space="preserve"> själva undandraga sig den kontroll i fråga om denna viktiga del av sin verksamhet, som kontrollstyrelsen författningsenligt skulle utöva. Även om så skulle vara, att styrelsens revisor i systembolagen också skulle väljas till revisor i </w:t>
      </w:r>
      <w:r>
        <w:rPr>
          <w:b/>
        </w:rPr>
        <w:t>dotterbolagen²</w:t>
      </w:r>
      <w:r>
        <w:rPr>
          <w:b w:val="0"/>
        </w:rPr>
        <w:t xml:space="preserve">, ligger det i öppen dag, att denna revisor ej kan ersätta styrelsens egen övervakande verksamhet. Saken har ju för övrigt utvecklat sig på det sätt, att det största restaurangaktiebolaget redan i sin ordning bildat ett par </w:t>
      </w:r>
      <w:r>
        <w:rPr>
          <w:b/>
        </w:rPr>
        <w:t>dotterbolag²</w:t>
      </w:r>
      <w:r>
        <w:rPr>
          <w:b w:val="0"/>
        </w:rPr>
        <w:t>. Ju flera ätteled, som uppstå inom den familjen, desto svårare, för att ej säga omöjJjligare blir rörelsen att kontrollera, och desto större bliva möjligheterna för den ena eller andra bolagsstyrelsen att göra affärer på egen hand.</w:t>
        <w:br/>
        <w:br/>
        <w:t>Ytterligare möter frågan om vinstmedlens disponerande. Kontrollstyrelsen gör med mycket eftertryck gällande, att vinsten av matserveringen bör av restaurangbolagen få reserveras till mötande av de dåliga tiderna, när dessa komma, och till avsättningar för förnyande av inventarier. Vidkommande vinsten av maltdrycksförsäljningen förklaras det vara en lämplighetsfråga, vart denna vinst bör gå.</w:t>
        <w:br/>
        <w:br/>
        <w:t>Vad nu beträffar behovet av fondbildningar, må det sägas, att få affärsföretag mindre än dessa kunna behöva bilda fonder för mötande av de dåliga tiderna och att förnyelsefonder så mycket mindre kunna vara erforderliga, som den successivt skeende nyanskaffningen bör bestridas av de årliga vinsterna.</w:t>
        <w:br/>
        <w:br/>
        <w:t xml:space="preserve">Men framför allt bör framhållas, att för vinstmedlen böra gälla samma bestämmelser som för systembolagens egna. Hade dessa själva utövat utskänkningsrörelsen, lider intet tvivel om att de uppkommande vinsterna skolat ingå till statsverket, inklusive den, som uppkommit på försäljning av mat, maltdrycker och annat. Om nu systembolagen föredraga att utöva denna verksamhet genom </w:t>
      </w:r>
      <w:r>
        <w:rPr>
          <w:b/>
        </w:rPr>
        <w:t>dotterbolag²</w:t>
      </w:r>
      <w:r>
        <w:rPr>
          <w:b w:val="0"/>
        </w:rPr>
        <w:t>, bör och får icke detta leda till någon minskning av statens rätt. I detta avseende bör ingen eftergift ske.</w:t>
        <w:br/>
        <w:br/>
        <w:t>I anmärkta hänseenden finner jag utredning vara erforderlig. Huruvida denna bör verkställas ensamt för sig eller inordnas i ett större sammanhang, blir ju Kungl. Maj:ts sak att avgöra.</w:t>
        <w:br/>
        <w:br/>
        <w:t>På dessa grunder anhåller jag om bifall till den av herr Nils Anton Nilsson och mig avgivna reservationen.</w:t>
      </w:r>
    </w:p>
    <w:p>
      <w:pPr>
        <w:pStyle w:val="Heading2"/>
      </w:pPr>
      <w:r>
        <w:t>2. Ivar Österström (Folkpartiet, man)</w:t>
      </w:r>
    </w:p>
    <w:p>
      <w:r>
        <w:rPr>
          <w:b w:val="0"/>
        </w:rPr>
        <w:t>Herr talman! Ett huvudfel i såväl reservationen som motionen i detta ärende är, såvitt jag förstår, att man vill se denna fråga ur enbart ekonomisk synpunkt. Emellertid måste den också ses såsom den verkligt stora sociala fråga, som den är. Min erfarenhet på detta område är Ju inte så vidare stor, men jag har under utskottsbehandlingen av detta ärende sökt att komplettera denna erfarenhet. Jag måste också säga, att de undersökningar, som vi gjort, peka i en alldeles bestämd riktning, nämligen den, att dessa restaurangbolag, om de skötas riktigt, ha en utomordentligt stor uppgift att fylla. Jag har varit i tillfälle att se litet närmare på det största av dessa restaurangbolag och även på ett av de allra minsta, och jag måste säga, att det förefaller, som om dessa bolag på ett mycket lyckligt sätt skulle komplettera en behövlig enskild restauratörverksamhet. Genom den centralisation och den koncentrering, som de möjliggöra, skapas förutsättningar för en social insats, som på ett utmärkt sätt i sin tur kompletterar hela andan och andemeningen i den nuvarande rusdrycksförsäljningsförordningen. Jag kan inte tänka mig, och utskottet kan inte tänka sig, att riksdagen vill gå in för den meningen, att man skulle försöka krama ut ur hela denna verksamhet i ekonomiskt avseende allt, som möjligen går att krama ut ur densamma. Ty skulle riksdagen gå in för en sådan ekonomisk rovdrift, frukta vi, att priset för denna rovdrift inte bara kan bli alldeles för dyrt, utan att det också kommer att bliva alldeles för dyrt, och att man därmed har gått tillbaka till ett förhållande, till förmån för vilket ingen ansvarig stämma på årtionden har vågat höjas. Men detta är och måste vara den principiella utgångspunkten för bedömandet av denna fråga. Om man menar, att dessa restaurangbolag verkligen ha en uppgift att fylla inte minst i socialt avseende, måste man ju också se till, att de få förutsättningar att på det bästa möjliga sätt fylla denna uppgift och dessa åtaganden. Men dessa förutsättningar skänkas icke, för den händelse man vägrar dem att taga varje som helst risk. En sådan svältpolitik för restaurangbolagen skulle i själva verket betyda ingenting annat än att deras allra viktigaste uppgift och förutsättning komme att läderas och omöjliggöras. Utskottet tror, att styrkan i dessa restaurangbolag i själva verket är den möjlighet till smidig anpassning efter ett behov, som de representera. Nu är det ju så, att ett behov kan föreligga och vara full lojalt, utan att man på förhand kan våga sitt huvud på att det är möjligt att exploatera detta behov med någon vinst.</w:t>
        <w:br/>
        <w:br/>
        <w:t>Om jag fattade reservanten rätt, anmärkte han i detta sammanhang på restaurangen Fenix-palatset och dess historia. Jag tror, att detta exempel är illa valt. Det kan ju inte bli tal om att gå in i detaljer vid denna timme och efter den långa debatt, som förut här i dag förts i åtskilliga frågor, men Jag tror, att man kan säga, att restaurangen Fenix är ett mycket intressant socialt experiment, som visserligen av flera skäl måste avvecklas men beträffande vilket det inte finns någon som helst anledning att taga restaurangbolaget i Stockholm för huvudet eller ge det alltför mycket klander. Om man tränger in i frågan, tror jag snarare, att man skall finna, att det förhåller sig alldeles tvärtom.</w:t>
        <w:br/>
        <w:br/>
        <w:t>Talet om restaurangbolagens monopolställning är ju inte bara i hög grad överdrivet, det är ju positivt oriktigt. J ag tror inte, att det finnes en sådan monopolställning, eller, rättare sagt, man kan vara säker på detta. Jag är också övertygad om att ledningen för dessa restaurangbolag icke är så dum, att den strävar att få monopol på detta område. Den nöjer sig alldeles säkert med den i och för sig mycket viktiga uppgiften att komplettera den en-</w:t>
        <w:br/>
        <w:br/>
        <w:t>skilda restauratörverksamheten. Om också saklig kritik här som i alla andra fall är berättigad och på sin plats samt kan lända till nytta, kan jag, herr talman, i detta sammanhang inte underlåta att säga, att nog tror jag, att det ligger så till, att man gärna kan unna dessa restaurangbolag den arbetsro, som deras synnerligen ömtåliga uppgift verkligen borde kunna berättiga dem till. Det rör sig dock — det bör kammaren vara medveten om — om ett av de intressantaste och kanske mest storstilade sociala och ekonomiska experiment, inte bara i detta land utan kanske i hela Europa, och jag inbillar mig, att man inte skall kunna bestrida, att detta experiment har utfallit på ett mycket hedrande sätt.</w:t>
        <w:br/>
        <w:br/>
        <w:t>Nu säges det visserligen, att det är nödvändigt att få en utredning, och man är inte nöjd med den utredning, som kontrollstyrelsen på utskottets begäran har presterat. Det är möjligt, att det finns luckor i denna utredning. Jag skulle emellertid tro, att allt vad som är möjligt att överhuvud taget få fram återfinner man i denna kontrollstyrelsens utredning. I varje fall gör man klokt i att ställa sig skeptisk till detta resonemang om att staten skulle taga någon vinst av själva matserveringen i samband med utskänkningen. Utskottets ståndpunkt är en helt annan. Utskottet har gått in för ett resonemang av den innebörden, att man skall, så långt det är möjligt, försöka åstadkomma en rationell klyvning i detta fall, d. v. s. matserveringen skall betala sina omkostnader, och utskänkningen skall svara för de med densamma oundvikligen förbundna utgifterna. Även om det är sant, att denna klyvning aldrig kan genomföras så, att den slår absolut ut, är det säkerligen inte någon illa grundad förhoppning att säga, att nog kommer man till ett resultat, som är ganska korrekt, om man strävar därefter.</w:t>
        <w:br/>
        <w:br/>
        <w:t>Ingen inbillar sig väl, tror jag, att jag och kanske majoriteten i utskottet äro några hänförda beundrare av det s. k. Brattsystemet. Men ärligheten fordrar, det nödgas jag säga, att man vidgår, att i den mån som restaurangbolagen hava kommit in så att säga i skottlinjen för den beskjutning, som från olika håll ägnas det system, som har fått namn efter doktor Bratt, dess främste förespråkare, äro bolagen inte så litet orättvist behandlade. Tager man kännedom om denna verksamhet, kommer man ovillkorligen till det resultatet, att man nödgas hysa den allra största respekt både för den personliga ledningen av dessa företag och även för de principer, som äro avgörande för den verksamhet, restaurangbolagen handhava, och jag tror, herr talman, att det är på mycket goda grunder, som jag ber att få yrka bifall till utskottets hemställan.</w:t>
      </w:r>
    </w:p>
    <w:p>
      <w:pPr>
        <w:pStyle w:val="Heading2"/>
      </w:pPr>
      <w:r>
        <w:t>3. Edvard Lithander (Första kammarens nationella parti, man)</w:t>
      </w:r>
    </w:p>
    <w:p>
      <w:r>
        <w:rPr>
          <w:b w:val="0"/>
        </w:rPr>
        <w:t>Herr talman! Utskottets ärade ordförande gjorde gällande, att detta icke är enbart en ekonomisk fråga, utan även ett socialt spörsmål. Jag skall inte gå in på den sociala delen av denna fråga, ty den motion, som jag tillåtit mig väcka, har endast varit ett led i strävandet att få dessa saker mera in under allmän kontroll än vad som för närvarande är fallet. Det har ursprungligen varit systembolag, som fullgjort denna uppgift, men dels på grund av den maktställning kontrollstyrelsen haft och dels till följd av den av bolagen skapade organisationen har man kommit in i ett läge, där det allmänna icke har samma inblick i saken, som om systembolagen själva fortfarande hade handhaft denna uppgift, såsom från början var tänkt.</w:t>
        <w:br/>
        <w:br/>
        <w:t>Utskottet har, liksom även kontrollstyrelsen i sitt utlåtande, uppehållit sig mycket vid den sociala delen av frågan, men man har gått åtskilligt vid sidan om det ekonomiska spörsmålet. Utskottet har hänvisat till den utredning, som till nästa år är avsedd att ske i samband med avgörandet av frågan om partihandeln och hänvisar till bevillningsutskottets betänkande i sistnämnda fråga,</w:t>
        <w:br/>
        <w:br/>
        <w:t>där bevillningsutskottet uttalar, att enligt dess mening är det önskvärt, att Kungl. Maj:t i samband med förslag i berörda hänseende framlägger all den utredning, som kan erfordras för att tillfälle må beredas riksdagen att i ett sammanhang pröva frågan om de statsfinansiella intressen, som äro bundna vid ej blott partihandeln utan även detaljhandeln med rusdrycker. Men har man icke givit något bestämt direktiv om att även den nu föreliggande frågan skall beröras vid utredningen, kan det mycket väl hända, att vi, när vi komma in på nästa år, stå inför samma förhållande, att man ignorerar frågan.</w:t>
        <w:br/>
        <w:br/>
        <w:t xml:space="preserve">I motionens kläm yrkas på en utredning, i vad mån statsverket fått minskade inkomster därigenom, att verksamheten överförts från systembolagen till de s. k. restaurangbolagen samt att Kungl. Maj:t måtte till riksdagen inkomma med de förslag, vartill denna utredning giver anledning. Ett strävande att försöka åt staten förskaffa allt vad den bör hava synes mig vara något, som varje riksdagsman bör kunna ena sig om. Vi skola inte blanda bort korten eller söka komma ifrån det väsentliga i denna punkt genom att rulla upp hela spörsmålet om den sociala frågan i detta hänseende, utan vi skola taga sikte på de ekonomiska synpunkterna i detta fall. Jag kan aldrig få för mig, att kontrollstyrelsen har rätt i sitt resonemang, då styrelsen säger, att det icke finnes något förbud emot att ordna med </w:t>
      </w:r>
      <w:r>
        <w:rPr>
          <w:b/>
        </w:rPr>
        <w:t>dotterbolag²</w:t>
      </w:r>
      <w:r>
        <w:rPr>
          <w:b w:val="0"/>
        </w:rPr>
        <w:t xml:space="preserve">. Det är väl i alla fall så, att inte allt, som inte är förbjudet, är tillåtet. Kontrollstyrelsen har en bestämd regel att följa, nämligen rusdrycksförsäljningsförordningens 19 $ I mom., som stadgar, att systembolagens hela nettovinst av all den rörelse bolagen idkat skall tillfalla statsverket. Jag kan då inte förstå, att man fyller betingelserna på denna punkt, om man bildar aktiebolag och </w:t>
      </w:r>
      <w:r>
        <w:rPr>
          <w:b/>
        </w:rPr>
        <w:t>dotterbolag²</w:t>
      </w:r>
      <w:r>
        <w:rPr>
          <w:b w:val="0"/>
        </w:rPr>
        <w:t xml:space="preserve"> och sedan förklarar, att dessa ha rätt att göra vad de vilja. Ingen skall kunna säga mig, att ett </w:t>
      </w:r>
      <w:r>
        <w:rPr>
          <w:b/>
        </w:rPr>
        <w:t>dotterbolag²</w:t>
      </w:r>
      <w:r>
        <w:rPr>
          <w:b w:val="0"/>
        </w:rPr>
        <w:t xml:space="preserve"> får lov att göra vad som är förbjudet för ett systembolag, och jag vill göra gällande, att dylika bolag exempelvis inte ha rätt att köpa fastigheter. Det synes mig, att kontrollstyrelsen inte har följt föreskrifterna i nyssnämnda paragraf på denna punkt. Och jag skulle vilja till kontrollstyrelsens ärade chef — vilken väl, eftersom han tillhör denna kammare, är här närvarande, förmodar jag, när vi behandla anmärkningar gentemot kontrollstyrelsen — eller till hans närmaste man rikta den frågan, huruvida kontrollstyrelsen lämnat sitt medgivande åt dessa </w:t>
      </w:r>
      <w:r>
        <w:rPr>
          <w:b/>
        </w:rPr>
        <w:t>dotterbolag²</w:t>
      </w:r>
      <w:r>
        <w:rPr>
          <w:b w:val="0"/>
        </w:rPr>
        <w:t xml:space="preserve"> att företaga fastighetsköp och göra avskrivningar och fonderingar, som alldeles säkert systembolagen icke hava rätt att göra. Jag skulle som sagt, då jag nu har ordet, vilja framställa denna fråga till dem, den må sedan besvaras i kväll eller på annat sätt. Har kontrollstyrelsen reda på eller har den icke reda på, huruvida det övermål, som är offentligt påvisat i Göteborg, existerat? Har kontrollstyrelsen haft denna fråga under behandling eller ej? Man har i det utlåtande, som kontrollstyrelsen avgivit, gått vid sidan om både denna sak och fastighetsköpen. Man har icke heller svarat på den frågan, vilken förklaringen är till att i Norrköping restaurangbolaget kunnat klara sig utan någon subvention, medan restaurangbolagen i Stockholm och Göteborg subventionerats med 2 miljoner kronor. Vi ha här upplevat, att efter det min motion blivit väckt — detta må nu vara anledningen eller icke, i varje fall har det skett, sedan kritiken offentligt framställts — har restaurangbolaget där nere återbördat 216,000 kronor, som bolaget förra året fått. Är det i alla fall inte skäl, att riksdagen går in på dessa frågor och ser till, om detta är rätt eller icke och om staten får vad staten skall hava eller ej?</w:t>
        <w:br/>
        <w:br/>
        <w:t>Det är, herr talman, många saker, som man skulle kunna gå in på i detta sammanhang, och jag borde kanske också göra det. Men hänsynen till kammaren och till den långt framskridna tiden gör, att jag i varje fall inte nu skall gå in därpå, utan jag ber, herr talman, att få yrka bifall till den av herrar Georg Dahl och Nils Anton Nilsson avgivna reservationen, som inne-</w:t>
        <w:br/>
        <w:br/>
        <w:t>bär, att riksdagen skulle besluta, att en utredning i detta fall bör komma till stånd, huruvida staten har fått och får vad den bör hava eller icke.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