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559</w:t>
      </w:r>
    </w:p>
    <w:p>
      <w:r>
        <w:rPr>
          <w:b/>
        </w:rPr>
        <w:t xml:space="preserve">Datum: </w:t>
      </w:r>
      <w:r>
        <w:t>1928-04-17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Georg Bissmark (Första kammarens nationella parti, man)</w:t>
      </w:r>
    </w:p>
    <w:p>
      <w:r>
        <w:rPr>
          <w:b w:val="0"/>
        </w:rPr>
        <w:t>Herr talman! Det är påfallande, att från deras sida, som försvarat den kungl. propositionen, man med synnerligen lätt hand rört vid den punkt, som vid utskottets överläggningar var den centrala d. v. s. bestämmandet av själva brottsbegreppet. Detta har däremot vidrörts av herr Holmgren på ett sätt, som visar, att hur skicklig han än är i sitt eget yrke, så komner han nog till mycket besynnerliga resultat, när han ger sig in på att tolka en agtext.</w:t>
        <w:br/>
        <w:br/>
        <w:t>För närvarande gäller den bestämmelsen ifråga om motorförare, att om de vid utövandet av sin verksamhet äro synbarligen berörda av starka drycker, underkastas de en särskild bestraffning. Nu vill man taga bort denna bestämmelse. Man har sagt, att det där uttrycket »synbarligen berörd» etc. innebär alltför stränga fordringar för att fylleri skall anses föreligga, och man menar, att vederbörande skola kunna dömas, även om de äro i mindre grad än »synbart» berusade, således även i sådana fall, då de äro berusade, ehuru icke synbart. Då har man tillgripit det där uttrycket, att någon är »av starka drycker så påverkad, att han kan antagas ej äga nödigt herravälde över sina handlingar». Detta förutsätter nu, för att här skall föreligga en skärpning och för att stadgandet följaktligen skall hava någon betydelse från nykterhetssynpunkt, att myndigheterna skola ingripa på ett stadium, där påverkan av starka drycker är ringare än vad för närvarande är stadgat som förutsättning. Man kommer till det resultat, att man får in under lagen sådana fall, då svarandena icke kunna sägas vara »synbart berörda» av starka drycker. Följaktligen blir det så åklagarnas plikt att ingripa även 1 sådana fall, där personen förefaller vara fullkomligt nykter men där man t. ex. på spritlukt eller tillvaron av en restaurangnota eller dylikt kan märka, att han har förtärt spritdrycker i sådana kvantiteter, som man tycker borde ha fått honom att förlora herraväldet över sina handlingar. Nu är det i många fall</w:t>
        <w:br/>
        <w:br/>
        <w:t>alldeles omöjligt för en domare eller för ett vittne eller för en läkare eller för vilken annan person som helst att kunna konstatera, om en person, som förefaller att vara alldeles nykter, men som förtärt en viss mängd sprit — det syns inte på honom, han förefaller äga herravälde över sina handlingar för vanliga fall — att kunna konstatera, säger jag, vare sig genom besiktning eller särskild undersökning av honom, om han verkligen är i det skick, att han saknar nödigt herravälde över sina handlingar, då det gäller att köra bil. Det är denna undersökning, som skulle komma att framkalla en högst underlig bevisningsprocedur vid vårt lands domstolar, därest vi nu få fram sådana bestämmelser. Jag vill bara hänvisa till vad justitierådet von Seth. som gått på den linje, vilken närmast sammanfaller med den kungl. propositionen, säger om saken. Han föreslår, att man skulle skriva, att det »kan för visst antagas», att den tilltalade saknat herravälde över sina handlingar — »för visst antagas» är detsamma som »måste antagas», ehuru något starkare. Hur skall man då få bevisningen? Jo, för det första får man in under lagrummet alla dem, som äro »synbart berörda», alltså alla dem, som nu falla in under straffbestämmelsen. Men dessutom får man in sådana, som förtärt en sådan kvantitet spritdrycker, att den skulle ha bragt var och en att förlora herraväldet över sina handlingar. Han uttalar detta såsom sin mening, och jag förmodar, att vederbörande domare komma också att i allmänhet uppfatta saken på det sättet, att där det icke finns några yttre tecken på berusning hos svaranden, utan man skall döma efter den förtärda spritkvantiteten, måste man utgå från att då förtärande av en viss kvantitet sprit är ägnad att bringa var och en ur jämvikt, och svaranden har förtärt den kvantiteten, är detta i allmänhet tillräckligt för att döma honom. Men saken är inte alltid utagerad med detta, utan svaranden måste också tillåtas motbevisning, och då skulle man kunna bliva vittne till ett sådant spektakel som det som förekom här i Stockholm. En person hade åtalats för att ha varit »synbarligen berörd» av starka drycker och i detta tillstånd kört bil. Han tager då och dricker dubbelt så mycket som vid tillfället ifråga och åker sedan omkring i sin bil med en läkare i sällskap och visar, hur skicklig han är att styra sin bil. Jag kan icke få för mig annat än att en dylik bevisning, om den skulle bli allmän — och den kommer med säkerhet att bli allmän, ty det gäller för bilförarna en så viktig sak som att få igen eller få behålla sina körkort, varför de komma att nedlägga hela sin själ i strävandet att bevisa, att de inte varit berusade — skulle medföra föga tilltalande situationer inför domstolarna.</w:t>
        <w:br/>
        <w:br/>
        <w:t>Jag får säga, att hela problemet är så svårt, att vi inte i lagutskottet kunde hitta på någon lämplig utväg. Men de, som utgjorde flertalet inom utskottet, voro ense om, att den brottsbestämning, som är given här i den kungl. propositionen, var i allra högsta grad otillfredsställande. Redan från början slog det mig, då det talas om att »ej äga nödigt herravälde över sina handlingar» en mängd hågkomster, som jag har från rättegångsförhandlingar, då jag hört vittnen om fylleri. Man frågar ett vittne: »Var svaranden full?» »Nej», svaras det, »han var inte nykter, men han hade fullt herravälde över sina handlingar.&gt; Det är det allmänna språkbruket. Därför fattas saken så, att just kriteriet på att en person befinner sig i ett tillstånd, som utgör ett mellanting mellan »mindre nykter» och »full», är att han äger fullt herravälde över sina handlingar, trots att han, som jag sade, är mindre nykter. Nu användes detta beteckningssätt i en helt ny betydelse. Det är givet, att landets domare komma att förstå och tillämpa denna nya betydelse, men vittnesförhören komma att bli ytterst vanskliga då det gäller att utfråga vittnen, om förutsättningar föreligga för att kunna fälla en motorförare. Förhöret kommer att gestalta sig ungefär så här: Man frågar: »Märkte ni. att han</w:t>
        <w:br/>
        <w:br/>
        <w:t>druckit sprit?» Svaret blir: »Han luktade sprit.&gt; — »Hade han druckit mycket sprit?» — »Han hade druckit så och så mycket.» — »Var det så mycket, att ni tror, att han hade nödigt herravälde över sina handlingar?» — »Ja, han var inte så full, att han inte hade herravälde över sina handlingar.» Jag menar, att allmänheten kommer att få svårt att förstå att uttrycket »sakna nödigt herravälde över sina handlingar» skall innebära något annat än enligt det allmänna språkbruket. För domarna, som hava fullt klart för sig uttryckets verkliga betydelse, blir det svårt att få någon ledning om vittnenas omdömen.</w:t>
        <w:br/>
        <w:br/>
        <w:t>Detta har för mig varit det avgörande skälet då jag biträtt utskottets förslag. Vad angår 1 $ hade jag ingen erinran mot bestämmelsen, att en person skulle vara underkastad ansvar för fylleri, även om fylleriet ägde rum »å annan plats, där han lätteligen synes från sådant ställe» (d. v. s. allmän plats ete.), förutsatt att man gjorde det tillägget, att han inte hade något på denna andra plats att göra. Ty att polisen skulle få taga dem i deras hem, om de voro berusade där, var jag inte med på. Alla dessa mindre svårigheter, som voro föremål för en rätt vidlyftig diskussion inom utskottet, hade vi emellertid troligen övervunnit, om vi kunnat hitta på någon tillfredsställande brottsbestämning i 2 8. Det är till och med möjligt, att vi under sådana förhållanden kunnat bortse från denna, såsom vi tyckte, ganska onödiga generalisering som det nya stadgandet skulle innebära.</w:t>
        <w:br/>
        <w:br/>
        <w:t xml:space="preserve">Det har sagts här av statsrådet, att de redan förefintliga bestämmelserna i förordningen om motorfordon om ansvar för dessa förseelser skulle innebära något slags analogi till åkarpslagen. Men här föreligger i alla fall den stora skillnaden, att man kan inte tala om bilförare som en klass för sig, utan de äro fördelade på alla klasser. Någon samfälld opinion, enligt vilken de skulle anse sig vara utsatta för en klasslagstiftning, har jag svårt att tro skulle kunna framkomma. Det gäller ju för alla, som köra bil, att de få finna sig 1 att det uppställts vissa bestämmelser härom. Jag medger, att det för andra yrken också möjligen skulle vara lämpligt med några liknande ansvarsbestämmelser, men dessa skulle då lämpligen kunna meddelas som specialbestämmelser i vederbörandes reglementen, och jag kan icke komma ifrån, att det är olämpligt, att man har samma strafflatitud för en bilförare som för t. ex. en </w:t>
      </w:r>
      <w:r>
        <w:rPr>
          <w:b/>
        </w:rPr>
        <w:t>barnmorska³</w:t>
      </w:r>
      <w:r>
        <w:rPr>
          <w:b w:val="0"/>
        </w:rPr>
        <w:t xml:space="preserve">, om </w:t>
      </w:r>
      <w:r>
        <w:rPr>
          <w:b/>
        </w:rPr>
        <w:t>hon²</w:t>
      </w:r>
      <w:r>
        <w:rPr>
          <w:b w:val="0"/>
        </w:rPr>
        <w:t xml:space="preserve"> vid sin förrättning uppträtt litet »lallig». Man får ju betänka, att bilarna rusa fram på våra vägar och gator och utsätta alla, som komma i vägen, för fara.</w:t>
        <w:br/>
        <w:br/>
        <w:t>Jag delar alltså för min del de betänkligheter, som här framförts mot att åstadkomma en sådan generalisering. Men mitt huvudargument för avslag har varit 2 $:s formulering av själva brottsbegreppet »av starka drycker så påverkad» etc., vilket uttryck enligt min mening är fullkomligt oantagligt och kommer att leda till högst besynnerliga rättsförhållanden på detta område.</w:t>
        <w:br/>
        <w:br/>
        <w:t>Jag ber, herr talman, att få yrka avslag på den kungl. propositionen och bifall till utskottets förslag.</w:t>
      </w:r>
    </w:p>
    <w:p>
      <w:pPr>
        <w:pStyle w:val="Heading2"/>
      </w:pPr>
      <w:r>
        <w:t>2. Carl Lindhagen (–, man)</w:t>
      </w:r>
    </w:p>
    <w:p>
      <w:r>
        <w:rPr>
          <w:b w:val="0"/>
        </w:rPr>
        <w:t>Det vore väl önskligt, om riksdagen kunde i år göra slut på denna oändliga »utredning» och fatta ett beslut. Det här håller på att bli en fullständig vetenskap med formuleringar och utlåtanden, och lagutskottsutlåtandena äro verkligen så samvetsgranna, att då man går igenom de olika satserna, tycker man att det merendels är ganska riktigt som lagutskottet säger, men jag får det intrycket också, att man lika väl kan låta bli att säga allt det där. Skola vi nu bringa frågan ånyo in i vidriga omständigheter och få nya förslag, och dessa sedan grundlagsenligt skola gå ut till alla ämbetsmyndigheter och komma tillbaka igen, så blir följden ånyo detta oändliga</w:t>
        <w:br/>
        <w:br/>
        <w:t>uppskov, säkerligen utan att det nya förslaget just blir stort bättre då än saken ligger redan nu.</w:t>
        <w:br/>
        <w:br/>
        <w:t xml:space="preserve">Jag är bekymrad över herr Klefbecks inlägg om, att vi äro så rädda för att formulera lagtext i riksdagen. Det förefaller nästan som om efter demokratiens ankomst här det blivit en så oerhörd räddhåga att skriva lagtext, och då faller man i armarna på byråkratien. I den gamla goda tiden, herr Klefbeck, år 1900, gjorde jag min entré i lagutskottet och tjänstgjorde där länge, och då skrevo vi friskt lagtext. Vi skrevo en gång till och med en lång lag, vilken sedan antogs och ännu gäller utan anmärkning. Men då voro vi så förståndiga, att vi samarbetade med justitiedepartementets lagbyrå, dess chef och expeditionschef, och på det sättet fingo vi i förväg en lagtext, som kunde utan omständigheter och uppskov antagas omedelbart av riksdagen, då det behövdes. Jag undrar, när den tiden kommer, då dessa traditioner skola kunna återupplivas och riksdagen även på denna punkt någorlunda bli karl för sin hatt? För övrigt föreföll det mig även vara herr Bissmarks motto, att vi borde inte alls antaga någon sådan här lag, ty vi kunna inte skriva någon lagtext. I detta fall kan kammaren aldrig få någon lagtext som är så tillfredsställande, att om man ställer en individ ur levande livet inför densamma, så ser man genast i lagtexten, vad som passar in på honom. Det måste bli en kautschukparagraf av det slag som våra lagar vimla av, en allmän sats, där bevisningen får fylla ut, om denna sats skall passa in på mannen och </w:t>
      </w:r>
      <w:r>
        <w:rPr>
          <w:b/>
        </w:rPr>
        <w:t>kvinnan¹</w:t>
      </w:r>
      <w:r>
        <w:rPr>
          <w:b w:val="0"/>
        </w:rPr>
        <w:t xml:space="preserve"> eller inte. Den formulering, som här gjorts, är således inte »tillfredsställande». Men vilken formulering vi än hitta på, kommer man att säga, att den icke är tillfredsställande.</w:t>
        <w:br/>
        <w:br/>
        <w:t>Om det nu förhåller sig på det sättet, att reservanternas formulering inte varit föremål för någon prövning i lagutskottet och andra kammarens stora majoritet återremitterat frågan för att få en prövning till stånd, just i syfte att kammaren sedan vill antaga något i reservationens syfte, då bör det vara lämpligt att första kammaren också återremitterar frågan. Eljest tvingas Jag att bifalla reservationen. Varför jag skulle föredraga en återremiss beror därpå, att jag har en bestämd invändning mot det tillägg, som reservanterna gjort till 1 $, och jag förvånar mig över att lärda jurister kunna säga, att detta är en bagatell, ty det är verkligen en huvudsak.</w:t>
        <w:br/>
        <w:br/>
        <w:t>Jag fäster uppmärksamhet på att det står i propositionen: »eller å annan plats, där han lätteligen synes från sådant ställe, straffes» ete. Om här skulle framställas ett yrkande, skulle väl yrkas bifall till propositionen, men med den förändringen att i stället för ordet »synes» skrives »synes och höres». Ty det senare är bra mycket viktigare än det förra. Om en sådan stackare står 1 en portgång och lutar sig överlastad mot en vägg, men är moltyst, då jag går förbi och inte gör någon något förnär, kan han gärna för mig få stå där ostraffad. Blir jag uppskakad av att se honom, kan jag ju blunda eller vända ryggen mot eller ansiktet bort från honom. Men skränar han och spottar och fräser och okvädar mig, då blir jag arg. Alltså det där ordet »synes» är ytterst ofullständigt. Jag vill därför ha återremiss för att man skall överväga, om det icke i princip borde stå »synes och höres».</w:t>
        <w:br/>
        <w:br/>
        <w:t>Men så kommer det värsta, och det är reservationens tillägg, som reservanterna i god tro blivit lockade till på grund av juristernas förhinder och invändningar i lagutskottet. Det står i reservationen: »lätteligen synes från sådant ställe och ej äger giltig anledning uppehålla sig» etc. Det är ju ett oerhört privilegium för den enskilda äganderätten eller besittningsrätten, att man i detta fall är oantastlig på sitt område. Samhället har väl garanterat ägandeeller besittningsrätten för att man skall uppföra sig hyggligt på området. Men om man på egen eller förhyrd mark skränar eller för oväsen så att grannarna bli störda, så skall sådant vara tillåtet, därför att man står på sitt eget om-</w:t>
        <w:br/>
        <w:br/>
        <w:t>råde. Om en person står i en av honom förhyrd lägenhet och är dödfull och inför öppna fönster stormar, väsnas, skriker och skäller ut folk på gatan, då är det all right, därför att han äger uppehålla sig i lägenheten. En sådan moral, herr justitieminister och herr Nothin och alla andra jurister här!</w:t>
        <w:br/>
        <w:br/>
        <w:t xml:space="preserve">I förrgår ringde på till mig en för mig främmande person. Han sade: »Kan borgmästarn hjälpa mig och säga, vad jag skall göra. Jag har en god vän, som haft svårt att få en lägenhet. Nu har jag skaffat honom och hans familj en lägenhet, men så befinnes det, att lägenheten ovanför honom är uthyrd till några halvvuxna pojkar, som varje natt taga upp dit en mängd </w:t>
      </w:r>
      <w:r>
        <w:rPr>
          <w:b/>
        </w:rPr>
        <w:t>flickor²</w:t>
      </w:r>
      <w:r>
        <w:rPr>
          <w:b w:val="0"/>
        </w:rPr>
        <w:t xml:space="preserve"> och de supa och dricka och föra ett sådant gränslöst fylleriväsen, att min gode vän och hans familj aldrig kunna få sova en enda natt.&gt; Ja, vad skall han göra? De andra befinna sig på behörig egen mark och därför få de göra, vad de vilja. Då har lagen ingen annan utväg, så vitt jag förstår, än att den olycklige får be värden focka ut dem, vilket värden inte kan göra omedelbart. Visserligen kan han få iväg dem efter uppsägning, men det tager lång tid och under den tiden få de störda inte sova. Nu lär värden i detta fall ha sagt, att han brydde sig icke om anmälan, och då skulle de störda nödgas stämma värden för att bli av med sin lägenhet, därför att den inte överensstämmer med erforderlig trevnad och tysthet, som de skäligen kunde vänta vid förhyrningen, och så kanske målet går ända till högsta domstolen. Är det då inte bättre, att polisen får åtala bråkmakarna för fylleri, därför att de störa den allmänhet som befinner sig på sin egen mark och ha rätt att bli skyddade eftersom de iakttaga ett lojalt uppförande på den mark de lagligen besitta? Således bör lagstiftningen här utvidgas till att omfatta även sådana fall. Och jag vill särskilt fästa uppmärksamheten på att här är ju hela samhället så konstruerat, att i städerna skall man bo tillsammans i hyreskaserner och på landet numera åtminstone tätt utanför städerna skola vi bo bredvid varandra på små, bebyggda tomter. Om nu en tomtägare går ut i trädgården och är full och för ett förfärligt oväsen, så att grannarna bli störda, vad skall man göra åt det? Han är ju i sin goda rätt, därför att han står på egen mark. Det kan inte vara riktigt, att reservationen omfattar ett så betänkligt tillägg och därför bör frågan också återförvisas. Men jag är beredd att i nödfall taga även denna formulering. Då har nykterhetsfolket något att motionera om följande riksdagar under en halv generation för att få bort den där olyckliga bestämmelsen.</w:t>
        <w:br/>
        <w:br/>
        <w:t>Jag yrkar således i första hand bifall till förslaget om återremiss, men om</w:t>
        <w:br/>
        <w:br/>
        <w:t>detta yrkande inte skulle bifallas, kommer jag att rösta för reservationen, då</w:t>
        <w:br/>
        <w:br/>
        <w:t>Jag inte vid detta tillfälle vågar framställa förslag om denna kanske upprörande nyhet, för vilken jag nyss gjorde mig till förespråkare.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