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1778</w:t>
      </w:r>
    </w:p>
    <w:p>
      <w:r>
        <w:rPr>
          <w:b/>
        </w:rPr>
        <w:t xml:space="preserve">Datum: </w:t>
      </w:r>
      <w:r>
        <w:t>1928-04-27</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August Wilhelm Pettersson (Socialdemokraterna, man)</w:t>
      </w:r>
    </w:p>
    <w:p>
      <w:r>
        <w:rPr>
          <w:b w:val="0"/>
        </w:rPr>
        <w:t>Herr talman! Jag tänkte icke vidare behöva yttra mig i denna punkt, men jag nödgas göra det på grund av herr Bäcklunds yttrande. Jag måste först meddela, att kammaren så sent som 1927, och även 1926, beviljat pension åt änkor efter avlidna befattningshavare vid Strömsholms hingstdepå. De hade samma ställning som dessa nu ifrågavarande. Vid det tillfället fann utskottet ingenting att anmärka mot den framställning, som gjordes från Kungl. Maj:t.</w:t>
        <w:br/>
        <w:br/>
        <w:t>Nu är det så, att ett par stycken av dessa änkor ha varit änkor relativt länge. I ett fall överstiger tiden 15 år. Men jag kan i anslutning till vad jag vid punkt 1 sade icke godkänna denna princip, att då tiden överstiger 10 år, befattningshavares efterlevande änkor skola uteslutas från pension.</w:t>
        <w:br/>
        <w:br/>
        <w:t xml:space="preserve">Vad beträffar den tredje </w:t>
      </w:r>
      <w:r>
        <w:rPr>
          <w:b/>
        </w:rPr>
        <w:t>änkan²</w:t>
      </w:r>
      <w:r>
        <w:rPr>
          <w:b w:val="0"/>
        </w:rPr>
        <w:t xml:space="preserve"> eller </w:t>
      </w:r>
      <w:r>
        <w:rPr>
          <w:b/>
        </w:rPr>
        <w:t>änkan²</w:t>
      </w:r>
      <w:r>
        <w:rPr>
          <w:b w:val="0"/>
        </w:rPr>
        <w:t xml:space="preserve"> Wallenberg så är det så, att </w:t>
      </w:r>
      <w:r>
        <w:rPr>
          <w:b/>
        </w:rPr>
        <w:t>hennes²</w:t>
      </w:r>
      <w:r>
        <w:rPr>
          <w:b w:val="0"/>
        </w:rPr>
        <w:t xml:space="preserve"> man dog 1925, och det är således icke många år sedan dess. </w:t>
      </w:r>
      <w:r>
        <w:rPr>
          <w:b/>
        </w:rPr>
        <w:t>Hon²</w:t>
      </w:r>
      <w:r>
        <w:rPr>
          <w:b w:val="0"/>
        </w:rPr>
        <w:t xml:space="preserve"> kan icke falla inom tioårsgränsen. Fallet angående denna </w:t>
      </w:r>
      <w:r>
        <w:rPr>
          <w:b/>
        </w:rPr>
        <w:t>änka²</w:t>
      </w:r>
      <w:r>
        <w:rPr>
          <w:b w:val="0"/>
        </w:rPr>
        <w:t xml:space="preserve"> är analogt med de fall, vari riksdagen fattade beslut 1927 och 1926 om pension åt änkor efter stallbetjänte. Här ifrågavarande statstjänare och stallbetjänt hade varit 54 år i statens tjänst. Då finner jag det märkligt, att herr Bäcklund, som annars tycks vara nog så känslig, då det gäller sådana här spörsmål, kan säga, att det fallet icke är analogt med vad som förut förekommit i riksdagen.</w:t>
        <w:br/>
        <w:br/>
        <w:t xml:space="preserve">Tittar man på hur dessa änkors män ha haft det beträffande lönen under den tid de tjänat staten, så finner man, att lönen varit synnerligen blygsam. Stallbetjänten Wallenberg hade en årslön av 850 kronor, och </w:t>
      </w:r>
      <w:r>
        <w:rPr>
          <w:b/>
        </w:rPr>
        <w:t>änkan²</w:t>
      </w:r>
      <w:r>
        <w:rPr>
          <w:b w:val="0"/>
        </w:rPr>
        <w:t xml:space="preserve"> Lindholms man hade en årslön av 800 kronor. De hade härjämte husrum och vissa naturaförmåner.</w:t>
        <w:br/>
        <w:br/>
        <w:t>Det är sant, att dessa änkor ha en viss pension, men jag anser det icke rätt att blanda ihop detta. Det är en lokal pensionskassa, som finnes vid Strömsholm. Jag skall icke ingå på hur den uppkommit. Det är över hundra år sedan den uppkom, och det skedde på grund av dels anslag av staten och dels anslag från hingstdepån. Men fonden har dessutom uppstått på grund av insatser av tjänstemännen vid Strömsholms hingstdepå. Ur denna fond erhålla dessa änkor en viss liten summa. I två fall går den upp till 171 kronor och i ett fall till 163 kronor årligen. Då innebär Kungl. Maj:ts proposition att det skulle bli en utfyllnad av statsmedel. Det som fattas i 384 kronor skulle utfyllas av statsmedel. Och jag kan icke finna för min del, att det kan vara rimligt eller rättvist att avslå framställningen, särskilt som den är framförd av Kungl. Maj:t. Framställningen är tillstyrkt av stuteriöverstyrelsen och statskontoret. Liknande fall har riksdagen 1927 och 1926 bifallit, och därför ber jag ytterligare en gång, herr talman, att få yrka, att ärendet återremitteras till utskottet. Skulle icke detta yrkande vinna bifall, ber jag att få yrka bifall till Kungl. Maj:ts proposition.</w:t>
      </w:r>
    </w:p>
    <w:p>
      <w:pPr>
        <w:pStyle w:val="Heading2"/>
      </w:pPr>
      <w:r>
        <w:t>2. Bo von Stockenström (Folkpartiet, man)</w:t>
      </w:r>
    </w:p>
    <w:p>
      <w:r>
        <w:rPr>
          <w:b w:val="0"/>
        </w:rPr>
        <w:t>Herr talman! Det förhåller sig, såsom den siste ärade talaren påpekade, så att det här icke är fråga om att ge full pension på 384 kronor, utan det är fråga om ett fyllnadsbelopp, så att den sammanlagda pensionen skulle komma att uppgå till 384 kronor. Att framställning beträffande de förevarande änkorna icke gjorts tidigare beror på att de hittills kunnat på ett något så när nöjaktigt sätt försörja sig, men det har nu på grund av sjuklighet och ålderdomssvaghet mött svårigheter för dem att kunna reda sig. Det har då ansetts att</w:t>
        <w:br/>
        <w:br/>
        <w:t xml:space="preserve">regeringen borde gå in med en framställning till riksdagen, som så vitt jag kan finna, är fullständigt analog med de framställningar om pensioner åt änkor efter stallbetjänte vid Strömsholm, som Kungl. Maj:t framlade till riksdagen 1926 beträffande en </w:t>
      </w:r>
      <w:r>
        <w:rPr>
          <w:b/>
        </w:rPr>
        <w:t>änka²</w:t>
      </w:r>
      <w:r>
        <w:rPr>
          <w:b w:val="0"/>
        </w:rPr>
        <w:t xml:space="preserve"> och 1927 beträffande två änkor och som blevo bifallna av riksdagen.</w:t>
        <w:br/>
        <w:br/>
        <w:t>Nu har utskottet anfört, att det icke finner, att fallen äro fullt jämförbara med varandra. Jag kan emellertid icke förstå, vari skillnaden skulle bestå. Därutöver har utskottet beträffande två av änkorna påpekat, att deras män avlidit för 14 år sedan, och utskottet har alltså beträffande dessa två änkor begagnat sig av samma argument som rörande tidigare i dag behandlade fall och som av kammaren underkänts. Under sådana förhållanden synes det mig förefinnas rimliga skäl för att detta ärende återremitteras till utskottet.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1778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