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596</w:t>
      </w:r>
    </w:p>
    <w:p>
      <w:r>
        <w:rPr>
          <w:b/>
        </w:rPr>
        <w:t xml:space="preserve">Datum: </w:t>
      </w:r>
      <w:r>
        <w:t>1929-04-27</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Mauritz Hellberg (Liberala riksdagspartiet, man)</w:t>
      </w:r>
    </w:p>
    <w:p>
      <w:r>
        <w:rPr>
          <w:b w:val="0"/>
        </w:rPr>
        <w:t xml:space="preserve">I denna punkt fångades min uppmärksamhet av namnet på en gammal skolkamrat, vilket var första anledningen, varför jag särskilt uppmärksamt läste igenom vad som där förekommer. Men då jag gjorde detta, fann jag också, att utskottet enligt min mening behandlat denne min gamle skolkamrats efterlevande </w:t>
      </w:r>
      <w:r>
        <w:rPr>
          <w:b/>
        </w:rPr>
        <w:t>änka²</w:t>
      </w:r>
      <w:r>
        <w:rPr>
          <w:b w:val="0"/>
        </w:rPr>
        <w:t xml:space="preserve"> något snävt.</w:t>
        <w:br/>
        <w:br/>
      </w:r>
      <w:r>
        <w:rPr>
          <w:b/>
        </w:rPr>
        <w:t>Hon²</w:t>
      </w:r>
      <w:r>
        <w:rPr>
          <w:b w:val="0"/>
        </w:rPr>
        <w:t xml:space="preserve"> har ingått till Kungl. Maj:t med framställning, att </w:t>
      </w:r>
      <w:r>
        <w:rPr>
          <w:b/>
        </w:rPr>
        <w:t>hon²</w:t>
      </w:r>
      <w:r>
        <w:rPr>
          <w:b w:val="0"/>
        </w:rPr>
        <w:t xml:space="preserve"> måtte efter mannens död få till statens pensionsanstalt inbetala ett belopp av 3,258 kronor för att bliva delaktig av den familjepension, som </w:t>
      </w:r>
      <w:r>
        <w:rPr>
          <w:b/>
        </w:rPr>
        <w:t>hon²</w:t>
      </w:r>
      <w:r>
        <w:rPr>
          <w:b w:val="0"/>
        </w:rPr>
        <w:t xml:space="preserve"> skulle ha fått, därest mannen i livstiden inbetalt detta belopp. Nu visar det sig, att anledningen till att han inte gjorde detta, var den att då han fick anmodan att verkställa sådan inbetalning, nämndes det inte, hur mycket han skulle betala. Han försökte själv räkna ut det, och kom då till ett belopp av 7—8,000 kronor, vilket översteg hans förmåga. Efter hans död blev det bekant, att det hade räckt med dessa 3,258 kronor. Det beror sålunda på ett misstag, att avgiften inte blev inbetalad av honom. Nu förefaller det ju, att när </w:t>
      </w:r>
      <w:r>
        <w:rPr>
          <w:b/>
        </w:rPr>
        <w:t>änkan²</w:t>
      </w:r>
      <w:r>
        <w:rPr>
          <w:b w:val="0"/>
        </w:rPr>
        <w:t xml:space="preserve"> genom en livränta efter honom, uppgående till nästan detta belopp, och praktiskt taget utgörande hela behållningen i hans dödsbo, är i tillfälle att efteråt inbetala nämnda belopp jämte ränta därå för de år, som gått, billighetsskäl tala för, att </w:t>
      </w:r>
      <w:r>
        <w:rPr>
          <w:b/>
        </w:rPr>
        <w:t>hon²</w:t>
      </w:r>
      <w:r>
        <w:rPr>
          <w:b w:val="0"/>
        </w:rPr>
        <w:t xml:space="preserve"> genom en sådan åtgärd skulle kunna förskaffa sig en något bättre pension än de fattiga 211 kronor, som </w:t>
      </w:r>
      <w:r>
        <w:rPr>
          <w:b/>
        </w:rPr>
        <w:t>hon²</w:t>
      </w:r>
      <w:r>
        <w:rPr>
          <w:b w:val="0"/>
        </w:rPr>
        <w:t xml:space="preserve"> eljest erhåller. Också har både medicinalstyrelsen, som varit hörd i frågan, och särskilt statskontoret ansett starka billighetsskäl föreligga för bifall till </w:t>
      </w:r>
      <w:r>
        <w:rPr>
          <w:b/>
        </w:rPr>
        <w:t>hennes²</w:t>
      </w:r>
      <w:r>
        <w:rPr>
          <w:b w:val="0"/>
        </w:rPr>
        <w:t xml:space="preserve"> framställning. Statens pensionsanstalt, som också haft att utlåta sig i ärendet, har egentligen inte haft annat att invända mot förslaget än att ett sådant tillvägagångssätt inte överensstämmer med anstaltens reglemente, vilket ju är alldeles givet, att det inte gör.</w:t>
        <w:br/>
        <w:br/>
        <w:t xml:space="preserve">Kungl. Maj:t har varit av samma mening som de båda förstnämnda myndigheterna och har därtill anfört, att änkorna efter två distriktsveterinärer, vilka inte erlagt vederbörliga engångsavgifter till pensionsanstalten, likväl erhållit familjepension genom inbetalning av det belopp, som överensstämde med anstaltens reglemente. Nu har utskottet häremot sakligt sett egentligen inte haft någonting att invända. Utskottet säger sig finna »betänkligt att, såsom i propositionen föreslås, efter en befattningshavares död medgiva inbetalning av retroaktivavgifter, som befattningshavaren själv icke ansett sig böra erlägga». — Jo, han hade visst ansett sig böra erlägga avgiften, men han hade fått felaktig föreställning om beloppet av den inbetalning som det ålåg honom att göra, och därför har han inte gjort den. Det har först efteråt blivit bekant, att vad han haft att betala inte var högre än att han skulle haft råd med det. Sedan gör utskottet jämförelser med de båda av Kungl. Maj:t åberopade fallen och finner, att dessa fall inte äro fullt jämförliga med det förevarande, enär det i dem »gällde änkor, vilkas män saknat möjlighet att själva genom erläggande av avgifter grundlägga pensionsrätt», ete. — Men det bör väl inte i detta fall så mycket vara fråga om befattningshavarna. Det är ju änkorna det gäller, och de befinna sig 1 precis samma ställning. I de båda fall, Kungl. Maj:t åberopat, ha dessa änkor efteråt lyckats få ihop de belopp, som erfordrades, och efteråt också fått inbetala dem. Och precis i samma belägenhet befinner sig denna </w:t>
      </w:r>
      <w:r>
        <w:rPr>
          <w:b/>
        </w:rPr>
        <w:t>änka²</w:t>
      </w:r>
      <w:r>
        <w:rPr>
          <w:b w:val="0"/>
        </w:rPr>
        <w:t xml:space="preserve">. Genom att mannen lyckligtvis tagit en livränta åt </w:t>
      </w:r>
      <w:r>
        <w:rPr>
          <w:b/>
        </w:rPr>
        <w:t>henne²</w:t>
      </w:r>
      <w:r>
        <w:rPr>
          <w:b w:val="0"/>
        </w:rPr>
        <w:t xml:space="preserve">, har </w:t>
      </w:r>
      <w:r>
        <w:rPr>
          <w:b/>
        </w:rPr>
        <w:t>hon²</w:t>
      </w:r>
      <w:r>
        <w:rPr>
          <w:b w:val="0"/>
        </w:rPr>
        <w:t xml:space="preserve"> efter honom fått ett belopp, som ungefär motsvarar vad </w:t>
      </w:r>
      <w:r>
        <w:rPr>
          <w:b/>
        </w:rPr>
        <w:t>hon²</w:t>
      </w:r>
      <w:r>
        <w:rPr>
          <w:b w:val="0"/>
        </w:rPr>
        <w:t xml:space="preserve"> har att erlägga. Det förefaller mig därför, som om den ståndpunkt såväl statskontoret som Kungl. Maj:t intagit, och som innebär, att man av billighetsskäl skulle tillmötesgå framställningen från den efterlevande </w:t>
      </w:r>
      <w:r>
        <w:rPr>
          <w:b/>
        </w:rPr>
        <w:t>änkan²</w:t>
      </w:r>
      <w:r>
        <w:rPr>
          <w:b w:val="0"/>
        </w:rPr>
        <w:t>, vilken är 65 år gammal, sjuk och oförmögen till förvärvsarbete, att den ståndpunkten har övervägande skäl för sig.</w:t>
        <w:br/>
        <w:br/>
        <w:t>Jag vet, att riksdagen många gånger i sådana fall anser sig kunna göra, vad utskottet, som är bundet av sin skyldighet att iakttaga den största sparsamhet, inte anser sig kunna tillstyrka, och jag tycker, att riksdagen borde kunna göra det även i detta fall. Ty att härvidlag frukta några konsekvenser synes mig vara alldeles obefogat. Utskottet har nämligen yttrat, att »ett bifall till den nu föreliggande framställningen skulle enligt utskottets mening kunna medföra icke önskvärda konsekvenser». Men det får väl var och en erkänna. att det torde vara rätt svårt att utfundera, vilka dessa konsekvenser i</w:t>
        <w:br/>
        <w:br/>
        <w:t>verkligheten skulle bli, i varje fall kan man väl knappast påstå, att de skulle Om Nöjd, . . o . PENSUOIL UU kunna bli i minsta mån avskräckande. ?</w:t>
      </w:r>
    </w:p>
    <w:p>
      <w:pPr>
        <w:pStyle w:val="Heading2"/>
      </w:pPr>
      <w:r>
        <w:t>2. Carl Svensson (Socialdemokraterna, man)</w:t>
      </w:r>
    </w:p>
    <w:p>
      <w:r>
        <w:rPr>
          <w:b w:val="0"/>
        </w:rPr>
        <w:t>Herr talman! Jag ber att få påpeka, att statens pensionsanstalt avstyrkt ifrågavarande framställning.</w:t>
        <w:br/>
        <w:br/>
        <w:t xml:space="preserve">Den ärade talaren, som nu yrkade bifall till den kungl. propositionen, framhöll, att det fanns ingen möjlighet att fundera ut, vilka konsekvenser man skulle kunna vänta av ett bifall till denna proposition. Jag skall försöka att ge skäl för den ståndpunkt, utskottet intagit, då utskottet säger, att ett beslut 1 denna riktning skulle kunna medföra icke önskvärda konsekvenser. Det är ju så, att avgifterna till statens pensionsanstalt för familjepensionering äro kalkylerade rent statistiskt med hänsynstagande till att en del av befattningshavarna icke efterlämna några anhöriga, vilka komma att taga ut pensionen, under det att en del efterlämna anhöriga, som få familjepension. Om det skulle bli så — vilket lätt bleve händelsen, därest Kungl. Maj:ts förslag bifölles — att var och en, som träder in i statstjänst vid något framskriden ålder och följaktligen har att erlägga viss retroaktivavgift eller engångsavgift, i stället för att göra detta sätter in beloppet på banken i förhoppning, att hans </w:t>
      </w:r>
      <w:r>
        <w:rPr>
          <w:b/>
        </w:rPr>
        <w:t>maka³</w:t>
      </w:r>
      <w:r>
        <w:rPr>
          <w:b w:val="0"/>
        </w:rPr>
        <w:t xml:space="preserve">, om </w:t>
      </w:r>
      <w:r>
        <w:rPr>
          <w:b/>
        </w:rPr>
        <w:t>hon²</w:t>
      </w:r>
      <w:r>
        <w:rPr>
          <w:b w:val="0"/>
        </w:rPr>
        <w:t xml:space="preserve"> överlever honom, skall ha rättighet att efter hans död inbetala dessa retroaktivavgifter, så är det klart, att pensionsanstaltens beräkningar av dessa avgifter icke alls komma att hålla streck. Det förefaller mig, som om ett beslut i den riktning, Kungl. Maj:t föreslagit, måste innebära att var och en, som inträder i statstjänst och har att erlägga retroaktivavgifter, måste överväga huruvida han bör betala dessa eller om han bör vänta och låta eventuellt efterlevande </w:t>
      </w:r>
      <w:r>
        <w:rPr>
          <w:b/>
        </w:rPr>
        <w:t>maka³</w:t>
      </w:r>
      <w:r>
        <w:rPr>
          <w:b w:val="0"/>
        </w:rPr>
        <w:t xml:space="preserve"> inbetala dem. Det är denna konsekvens, man måste räkna med. Det gäller här ett stort antal tjänstemän i olika grader av statens olika verksamhetsområden. Jag tror således, det finns mycket starka skäl att inte gå den väg, Kungl. Maj:t föreslagit, trots att jag medger, att här synes föreligga ett ömmande fall. Jag vill understryka vad jag många gånger sagt i samband med ärenden av denna beskaffenhet, att varje medgivande, som riksdagen gör, varje frångående av en bestämd princip på det här området kommer redan vid nästa riksdag att åberopas såväl av Kungl. Maj:t som av motionärer. Det är med hänsyn till denna omständighet och med hänsyn därtill, att statens pensionsanstalt har avstyrkt bifall till framställningen, som utskottet kommit till sin ståndpunkt i ärendet.</w:t>
        <w:br/>
        <w:br/>
        <w:t>Jag ber att få yrka bifall till utskottets hemställan.</w:t>
      </w:r>
    </w:p>
    <w:p>
      <w:pPr>
        <w:pStyle w:val="Heading2"/>
      </w:pPr>
      <w:r>
        <w:t>3. Mauritz Hellberg (Liberala riksdagspartiet, man)</w:t>
      </w:r>
    </w:p>
    <w:p>
      <w:r>
        <w:rPr>
          <w:b w:val="0"/>
        </w:rPr>
        <w:t>Ja, jag får säga, att Jag tycker inte ändå, att de där konsekvenserna, om man tänker på dem litet närmare, förefalla farliga.</w:t>
        <w:br/>
        <w:br/>
        <w:t>Då utskottets ordförande framhåller, att pensionsanstalten avstyrkt bifall till framställningen, så är det ju alldeles sant. Men det är också sant, såsom bankoutskottet påpekar, att den givetvis gjort detta därför att det i anstaltens reglemente inte funnits något stöd för framställningen. Det ligger i sakens natur, och det har ju anstalten också åberopat. Men Jag tycker, att statskontoret, som särskilt har att tänka på sparsamhet i rikets förvaltning, borde ha beaktat denna farliga konsekvens, om den nu verkligen kunde befaras. Vi ha två precedensfall förut, så att det är inte första gången något dylikt förekommer. Dessa två precedensfall inträffade 1921. Alltså har det gått åtta år sedan dess, och på den tiden har, såvitt av dessa handlingar framgår, ett enda</w:t>
        <w:br/>
        <w:br/>
        <w:t>liknande fall ytterligare inträffat, nämligen det nu förevarande. Det tycker jag inte verkar så värst avskräckande.</w:t>
        <w:br/>
        <w:br/>
        <w:t xml:space="preserve">Slutligen vill jag säga, att om också riksdagen i ett undantagsfall, som jag anser detta vara, så att säga ger nåd, lär nog varje befattningshavare vara ganska medveten om att det är ganska stor risk att ställa frågan så, att hans </w:t>
      </w:r>
      <w:r>
        <w:rPr>
          <w:b/>
        </w:rPr>
        <w:t>änkas²</w:t>
      </w:r>
      <w:r>
        <w:rPr>
          <w:b w:val="0"/>
        </w:rPr>
        <w:t xml:space="preserve"> pension kommer att bero på hur riksdagen är sinnad: om den vill eller inte vill gå med på saken. Och skulle det komma att inträffa ett flertal fall, så att det verkligen blir fara å färde, då blir konsekvensen den, att riksdagen vägrar att gå med på dylika framställningar. Hela den fara, som utmålats, synes mig därför inte föreligga.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596</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