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624</w:t>
      </w:r>
    </w:p>
    <w:p>
      <w:r>
        <w:rPr>
          <w:b/>
        </w:rPr>
        <w:t xml:space="preserve">Datum: </w:t>
      </w:r>
      <w:r>
        <w:t>1930-04-03</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Axel Vennersten (Första kammarens nationella parti, man)</w:t>
      </w:r>
    </w:p>
    <w:p>
      <w:r>
        <w:rPr>
          <w:b w:val="0"/>
        </w:rPr>
        <w:t>Jag får för kammaren tillkännagiva, att anslag blivit utfärdat om fortsättande av detta plenum i afton kl. 8.</w:t>
        <w:br/>
        <w:br/>
        <w:t xml:space="preserve">Samtidigt ber jag få meddela, att på grund av den gudstjänst, som anordnas i slottskapellet med anledning av </w:t>
      </w:r>
      <w:r>
        <w:rPr>
          <w:b/>
        </w:rPr>
        <w:t>Hennes²</w:t>
      </w:r>
      <w:r>
        <w:rPr>
          <w:b w:val="0"/>
        </w:rPr>
        <w:t xml:space="preserve"> Majestät Drottningens frånfälle. komma förhandlingarna att avbrytas strax efter kl. 3 för att de ledamöter av kammaren, som önska bevista gudstjänsten i fråga, skola få tillfälle att göra detta. Jag har nämligen att från H. K. H. Kronprinsen-regenten framföra en inbjudan till kammarens ledamöter att deltaga i gudstjänsten.</w:t>
        <w:br/>
        <w:br/>
        <w:t>H. K. H. Kronprinsen-regenten har vidare givit mig i uppdrag att till kammarens ledamöter framföra Kronprinsens och hans familjs hjärtligaste tack för det deltagande, som kammaren visat honom och hans familj i den svåra prövning, som drabbat dem, vilket deltagande blivit å kammarens vägnar genom talmannen till H. K. H. Kronprinsen framfört.</w:t>
      </w:r>
    </w:p>
    <w:p>
      <w:pPr>
        <w:pStyle w:val="Heading2"/>
      </w:pPr>
      <w:r>
        <w:t>2. Ulrik Leander (Frisinnade folkpartiet, man)</w:t>
      </w:r>
    </w:p>
    <w:p>
      <w:r>
        <w:rPr>
          <w:b w:val="0"/>
        </w:rPr>
        <w:t>Herr talman! Ingen kan med skäl påstå, att svenska staten behandlar sina tjänsteinnehavare på ett dåligt sätt. Snarare tvärtom. Men ibland kunna förhållandena foga sig så, att en och annan får sitta emellan och röna en styvmoderlig behandling.</w:t>
        <w:br/>
        <w:br/>
        <w:t xml:space="preserve">Man fordrar av dem, som skola förestå våra interneringsanstalter, att de skola förstå konsten att behandla sina klienter individuellt, men riksdagen tar aldrig eller mycket sällan hänsyn till individen utan handlar ju i allmänhet summariskt, för att inte säga schablonmässigt. Den man, som det nu gäller, har efter den senaste löneregleringen för befattningshavarna vid tvångsarbetsanstalten i Landskrona, fått sitt arbete ökat ganska väsentligt. Dels hava nämligen de </w:t>
      </w:r>
      <w:r>
        <w:rPr>
          <w:b/>
        </w:rPr>
        <w:t>kvinnliga¹</w:t>
      </w:r>
      <w:r>
        <w:rPr>
          <w:b w:val="0"/>
        </w:rPr>
        <w:t xml:space="preserve"> alkoholisterna förlagts till denna anstalt, och dels har antalet av </w:t>
      </w:r>
      <w:r>
        <w:rPr>
          <w:b/>
        </w:rPr>
        <w:t>kvinnliga¹</w:t>
      </w:r>
      <w:r>
        <w:rPr>
          <w:b w:val="0"/>
        </w:rPr>
        <w:t xml:space="preserve"> tvångsarbetare växt och anstalten på grund därav måst utvidgas. Efter vad vi kunna se vid nästa punkt i utskottets utlåtande är det ju fråga om en utvidgning också i år. Olika socialministrar hava både skriftligen och muntligen ställt i utsikt för direktören därstädes, att han skulle få löneförbättring. Denna har nu låtit vänta på sig, och han liksom många andra har fått erfara sanningen av det gamla ordet, att man icke får</w:t>
        <w:br/>
        <w:br/>
        <w:t>förlita sig på furstar. Direktören vid tvångsarbetsanstalten å Svartsjö åt-</w:t>
        <w:br/>
        <w:br/>
        <w:t>bättring åt njuter lön i 27:e lönegraden, under det att direktören vid anstalten i Lands-</w:t>
        <w:br/>
        <w:br/>
        <w:t>krona är placerad i den 24:e. Alltså är det en mycket väsentlig skillnad i fråga om deras löner, under det man kan säga, att det inte är någon större</w:t>
        <w:br/>
        <w:br/>
        <w:t xml:space="preserve">kunna anses vara likvärdiga. Säkert är, att klientelet i Landskrona är mycket svårhanterligt — rent av det mest svårhanterliga av alla, som äro föremål för anstaltsvård. Dessa </w:t>
      </w:r>
      <w:r>
        <w:rPr>
          <w:b/>
        </w:rPr>
        <w:t>kvinnor¹</w:t>
      </w:r>
      <w:r>
        <w:rPr>
          <w:b w:val="0"/>
        </w:rPr>
        <w:t xml:space="preserve"> äro på grund av det liv de fört mycket retliga och ojämna till lynnet. Det är verkligen inte uppmuntrande för direktören där nere att år efter år behöva vänta på en löneförbättring, som svarar emot hans arbetstyngda befattning.</w:t>
        <w:br/>
        <w:br/>
        <w:t>Nu påstår utskottet, att denna hans lönefråga icke kan bedömas förrän det väntade förslaget till ny lösdrivarlagstiftning blivit slutligen prövat. Ett sådant förslag till lösdrivarlag eller vanartslag, som den benämnes, föreligger Ju för riksdagens behandling. Men även om detta förslag blir antaget, kan Jag inte förstå, att ifrågavarande direktör kommer att få varken mer eller mindre att göra än förut. Därigenom blir säkerligen ingen ändring varken beträffande arbete eller ansvar. Därför synes det mig, som om det inte behövt möta något hinder för statsutskottet att förorda den i motionerna gjorda framställning om en tillfällig löneförhöjning för direktören. Men man kan här inte hoppas, att det skall gå på samma sätt som nyss i en föregående punkt eller att man skall kunna vinna någonting gentemot ett enhälligt statsutskott, utan här står man rådlös och vet inte, vad man egentligen skall göra. Emellertid hoppas jag, att herr socialministern nu skall taga sig an saken och till ett kommande år framlägga förslag om den skäliga löneförbättring för direktören vid tvångsarbetsanstalten i Landskrona, som han verkligen synes behöva och har gjort sig förtjänt av.</w:t>
        <w:br/>
        <w:br/>
        <w:t>Emellertid anser jag icke, att det möter något hinder för mig att yrka avslag på utskottets hemställan och bifall till de i ämnet väckta motionerna. Jag ber därför, herr talman, att få framställa detta yrkande.</w:t>
      </w:r>
    </w:p>
    <w:p>
      <w:pPr>
        <w:pStyle w:val="Heading2"/>
      </w:pPr>
      <w:r>
        <w:t>3. Martin Svensson (–, man)</w:t>
      </w:r>
    </w:p>
    <w:p>
      <w:r>
        <w:rPr>
          <w:b w:val="0"/>
        </w:rPr>
        <w:t>Utskottet har icke gått in för att pröva, huruvida skäl föreligga för att vidtaga en förändring av lönen för direktören för Landskrona tvångsarbetsanstalt utan har hänvisat till den förestående vanartslagstiftningen, och proposition härom har ju kommit på kamrarnas bord. Sedan denna lag blivit behandlad, kan ju frågan om direktörens lön anses mera aktuell. Det får anses vara något ovanligt och icke överensstämmande med riksdagens betänksamhet att i det läge, som denna fråga nu har, gå med på en tillfällig löneförbättring på enskilda motionärers förslag.</w:t>
        <w:br/>
        <w:br/>
        <w:t>Jag ber, herr talman, att få yrka bifall till utskottets hemställan.</w:t>
      </w:r>
    </w:p>
    <w:p>
      <w:pPr>
        <w:pStyle w:val="Heading2"/>
      </w:pPr>
      <w:r>
        <w:t>4. Alfred Petren (Socialdemokraterna, man)</w:t>
      </w:r>
    </w:p>
    <w:p>
      <w:r>
        <w:rPr>
          <w:b w:val="0"/>
        </w:rPr>
        <w:t>Herr talman! Kungl. Maj:t har begärt fortsatt anslag till främjande av nykterhetsnämndernas verksamhet såsom ett provisorium i avvaktan på utredning av frågan om vilket anslag, som för ändamålet kan bliva behövligt efter det revision av lagen om behandling av alkoholister ägt rum. Utskottet har med tillstyrkande av någon höjning av det begärda anslaget i likhet med departementschefen funnit ett definitivt ståndpunktstagande i denna fråga lämpligen böra uppskjutas i avvaktan på resultatet av den pågående revisionen av alkoholistlagstiftningen.</w:t>
        <w:br/>
        <w:br/>
        <w:t>Av departementschefens redogörelse för denna fråga synes framgå, att ett förslag till revision av gällande lag om behandling av alkoholister skulle kunna framläggas till nästa års riksdag. Uti en i ärendet väckt motion har emellertid givits uttryck åt den uppfattningen, att frågan om revisionen av alkoholistvårdslagstiftningen icke skulle upptagas till prövning förrän 1 samband med revisionen av rusdryckslagstiftningen.</w:t>
        <w:br/>
        <w:br/>
        <w:t xml:space="preserve">Jag skulle på det högsta beklaga, om den så välbehövliga revisionen av lagen om behandling av alkoholister, som nu stått på dagordningen i flera år, icke skulle bli genomförd utan ytterligare uppskjutas. Det lagförslag, som föreligger, skulle nämligen ge samhället ökat skydd mot sådana alkoholmissbrukare, som äro till allvarliga olägenheter för samhället. Det är inte många dagar sedan det i Stockholmspressen stod omnämnt, hurusom en berusad </w:t>
      </w:r>
      <w:r>
        <w:rPr>
          <w:b/>
        </w:rPr>
        <w:t>kvinna¹</w:t>
      </w:r>
      <w:r>
        <w:rPr>
          <w:b w:val="0"/>
        </w:rPr>
        <w:t xml:space="preserve"> genom sitt oväsen störde inte blott alla i huset boende utan även i an- . gränsande hus boende personer, utan att myndigheterna hade någon möjlighet att däremot ingripa. Fallet är visst inte enastående. Gång på gång har Stockholms stads nykterhetsnämnd fått mottaga anmälningar rörande alkoholmissbrukare, som på detta sätt nattetid uppträtt störande ej blott för den egna familjen utan även för grannarna. Men därest alkoholmissbrukaren i sådana fall icke varit till fara för annans personliga säkerhet, har nykterhetsnämnden icke haft någon befogenhet att inskrida utan måst svara den, som gjort anmälan: »Vi kunna icke bringa er någon hjälp».</w:t>
        <w:br/>
        <w:br/>
        <w:t>Detta skulle emellertid bliva möjligt efter antagande av det nya lagförslaget, i vilket föreslås bl. a. den utvidgningen, att lagen skulle vara tillämplig, därest den, som är hemfallen åt alkoholmissbruk, uppträder på ett för närboende eller andra grovt störande sätt. Även på andra punkter föreslås i det nya lagförslaget välbehövliga utvidgningar av lagens tillämplighetsområde. För närvarande kan en nykterhetsnämnd ingripa mot den alkoholmissbrukare, som fallit »sin familj» till last, vilket av myndigheterna tolkas på det sättet, att här avses blott den egna familjen eller föräldrahemmet. Om däremot en alkoholmissbrukare ligger en gammal mormor eller farmor till last, är nykterhetsnämnden utan möjlighet att ingripa till en sådan åldrig persons skydd mot denne till dryckenskap hemfallne anhörige. Enligt det föreliggande lagförslaget skulle även denna brist i den nuvarande alkoholistlagen bliva avhjälpt.</w:t>
        <w:br/>
        <w:br/>
        <w:t>Det är vidare många andra punkter, där det är synnerligen välbehövligt att med det snaraste få en ändring. Jag skall emellertid icke nu uppehålla tiden med att ytterligare orda därom. Jag vill blott erinra om, att när lagrådet yttrade sig angående lagförslag i ämnet, innan sådant förelades 1913 års riksdag, framhöll lagrådet, att det ju vore givet, att en lag, vilken som denna låge på ett alldeles nytt område, till en början endast kunde bliva i viss mån provisorisk. Nu hava vi en fjortonårig erfarenhet beträffande lagens tillämpning, och denna erfarenhet ger vid handen, att det är i högsta grad av behovet påkallat att på åtskilliga punkter få förbättringar i lagen. Jag är övertygad om, att herr statsrådet och chefen för socialdepartementet liksom alla andra, vilka hade tillfälle övervara den stora nykterhetskonferensen i Stockholm i somras, fingo ett mycket starkt intryck därav, och jag vet, att det bland dem, som syssla med praktiskt nykterhetsarbete, är en enhällig önskan, att en revision av alkoholistlagen snarast möjligt måtte bliva genomförd, på det att nykterhetsnämnderna måtte få ökade möjligheter att ge hjälp och skydd åt familjer, som äro så olyckliga, att de bland sina medlemmar hava någon, som är hemfallen åt dryckenskap.</w:t>
        <w:br/>
        <w:br/>
        <w:t>Jag har, herr talman, på denna punkt intet annat yrkande än om bifall till utskottets hemställan.</w:t>
      </w:r>
    </w:p>
    <w:p>
      <w:pPr>
        <w:pStyle w:val="Heading2"/>
      </w:pPr>
      <w:r>
        <w:t>5. Gustaf Roos (–, man)</w:t>
      </w:r>
    </w:p>
    <w:p>
      <w:r>
        <w:rPr>
          <w:b w:val="0"/>
        </w:rPr>
        <w:t>Herr talman! «Landshövdingebefattningar ha ju alltid varit eller ansetts vara eftersträvansvärda. Detta torde nog hava berott därpå, att befattningarna i och för sig själva gåvo sina innehavare möjlighet att komma i beröring med människor av olika kategorier och att taga initiativ.</w:t>
        <w:br/>
        <w:br/>
        <w:t xml:space="preserve">Men någonting, som åtminstone tidigare icke har gjort, att folk lockats till dessa befattningar, har varit avlöningsförhållandena. Herrarna veta ju, att före år 1926, då ny lönereglering trädde i kraft, var lönen för en landshövding 13,000 kronor. Med dessa 13,000 kronor skulle han först och främst amortera kostnaderna för uppsättning av möbler och andra tillbehör 1 en våning, som kanske bestod av ett 20-tal rum, då han förut haft sex eller sju stycken. Denna amortering bör nog icke sättas under 2 å 3,000 kronor. Sedan hade han att elda alla dessa rum för, lågt räknat, 2,000 kronor. Vidare måste han hava åtminstone en </w:t>
      </w:r>
      <w:r>
        <w:rPr>
          <w:b/>
        </w:rPr>
        <w:t>tjänarinna³</w:t>
      </w:r>
      <w:r>
        <w:rPr>
          <w:b w:val="0"/>
        </w:rPr>
        <w:t xml:space="preserve"> utöver vad han annars skulle behövt, och kostnaderna härför torde kunna beräknas till 1,000 kronor. Så till sist skulle han betala sina resor, och så kom vidare representationsskyldigheten.</w:t>
        <w:br/>
        <w:br/>
        <w:t xml:space="preserve">Jag har inte brytt mig om att göra några beräkningar från min egen erfarenhet; men jag har hört en landshövding säga, att alla dessa kostnader sammanlagt borde beräknas till 7 å 8,000 kronor. Då hade en landshövding kvar ungefär 5,000 kronor till uppehälle för sig, sin </w:t>
      </w:r>
      <w:r>
        <w:rPr>
          <w:b/>
        </w:rPr>
        <w:t>hustru²</w:t>
      </w:r>
      <w:r>
        <w:rPr>
          <w:b w:val="0"/>
        </w:rPr>
        <w:t xml:space="preserve"> och sina barn, vilka ju måste hava kläder och uppfostran, samt dessutom till alla andra kostnader. Man får medge, att dessa förhållanden egentligen icke voro lysande.</w:t>
        <w:br/>
        <w:br/>
        <w:t>Så kom den svåra kristiden, då penningens köpkraft nedsattes till ungefär en tredjedel. Då fingo tjänstemän i allmänhet rätt betydligt höjda löner, genom dyrtidstillägg, men de, som hade de högsta lönerna, undantogos, och bland dessa voro landshövdingarna. Omsider kom 1925 års riksdag. Då beslöt man höja landshövdingarnas lön högst betydligt. Jag tror, att den blev 22,000 kronor eller någonting sådant. Och så har det ett par år utgått dyrtidstillägg, och vidare ha landshövdingarna fått ersättning med ?/+ av kostnaderna för eldningen och dessutom ersättning för resorna 1 tjänsten.</w:t>
        <w:br/>
        <w:br/>
        <w:t>Nu hava landshövdingarna det således ganska bra; men tidigare hade de det ganska bekymmersamt, om de icke hade egna medel. Emellertid föreslog regeringen år 1925 i sammanhang med löneregleringen för landshövdingarna, att landshövdingar icke under några förhållanden skulle få hava plats i bankstyrelser, men statsutskottet tillstyrkte en motion, att denna bestämmelse icke skulle gälla de förutvarande landshövdingarna. Andra kammaren biföll propositionen oförändrad, och det blev en kompromiss, som gick ut på, att de skulle få hava platser i sådana bankstyrelser kvar till den 1 juli 1930 — alltså tills nu om några månader.</w:t>
        <w:br/>
        <w:br/>
        <w:t>Det förefaller mig, som om första kammarens ståndpunkt då var den riktiga. Jag vill icke uttala mig om, vilket som i sak bör vara rätt eller ej — om landshövdingarna böra ha bankplatser eller om det skulle förbjudas dem att åtminstona hava sådana platser i det egna länet — utan jag vill endast uppehålla mig vid frågan om de äldre landshövdingarna. Nu pågår ju en utredning om vissa löneförhållanden, och i den lär fråga vara uppe, om man möjligtvis skulle ändra gällande villkor för lönernas åtnjutande. Då kommer hela denna fråga upp: Vilka biförtjänster få tjänstemännen hava? Nu vet man inte, vari denna utredning kommer att resultera, och inte heller vet man, vad regeringen kan komma att föreslå i anledning av densamma. Men så länge utredningen fortgår och möjlighet föreligger att den alldeles kommer att omstöpa hithörande förhållanden, hade jag därför tillsammans med min vän herr Hellberg föreslagit, att landshövdingarna skulle få behålla dessa platser tills vidare under två år.</w:t>
        <w:br/>
        <w:br/>
        <w:t>Nu har statsutskottet enhälligt avstyrkt denna motion, och jag vill inte, då kammaren är så fåtaligt representerad, begagna mig härav för att begära en votering, då statsutskottet, som sagt, enhälligt avstyrkt motionen. Men jag har velat anföra orsaken till att jag kommit med en motion, som jag för min del anser ha varit förtjänt av ett bättre öde än att bliva enhälligt avstyrkt.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