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1867</w:t>
      </w:r>
    </w:p>
    <w:p>
      <w:r>
        <w:rPr>
          <w:b/>
        </w:rPr>
        <w:t xml:space="preserve">Datum: </w:t>
      </w:r>
      <w:r>
        <w:t>1930-05-06</w:t>
      </w:r>
    </w:p>
    <w:p>
      <w:r>
        <w:rPr>
          <w:b/>
        </w:rPr>
        <w:t xml:space="preserve">Kammare: </w:t>
      </w:r>
      <w:r>
        <w:t>Andra kammaren</w:t>
      </w:r>
    </w:p>
    <w:p>
      <w:r>
        <w:rPr>
          <w:b/>
        </w:rPr>
        <w:t xml:space="preserve">Antal yttranden: </w:t>
      </w:r>
      <w:r>
        <w:t>12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Edoff Andersson (Kilbomspartiet, man)</w:t>
      </w:r>
    </w:p>
    <w:p>
      <w:r>
        <w:rPr>
          <w:b w:val="0"/>
        </w:rPr>
        <w:t>Herr talman! I denna punkt har jag motionerat om att riksdagen skulle bevilja ett understöd av 380 kronor om året</w:t>
        <w:br/>
        <w:br/>
        <w:t xml:space="preserve">till </w:t>
      </w:r>
      <w:r>
        <w:rPr>
          <w:b/>
        </w:rPr>
        <w:t>änkan²</w:t>
      </w:r>
      <w:r>
        <w:rPr>
          <w:b w:val="0"/>
        </w:rPr>
        <w:t xml:space="preserve"> efter den indelte furiren J. B. Jarl. Utskottet har härom sagt, att det är icke vanligt att man beviljar understöd till änkor efter indelt manskap, då dessa icke äro att betrakta som statstjänare i egentlig mening. Nu förhåller det sig emellertid på det sättet, att enligt uppgifter, som föreligga i ett intyg — visserligen kanske något egendomligt skrivet men i varje fall ett intyg — från den, som varit denne mans arbetsledare, har han under den tid, han tjänstgjorde, ådragit sig kroppsskada, och man antar, att denna också varit den indirekta anledningen till hans död. Den omständigheten, att han alltså ådragit sig skada under tjänstgöring, har jag ansett tala för att riksdagen borde bereda ett understöd åt hans efterlevande </w:t>
      </w:r>
      <w:r>
        <w:rPr>
          <w:b/>
        </w:rPr>
        <w:t>änka²</w:t>
      </w:r>
      <w:r>
        <w:rPr>
          <w:b w:val="0"/>
        </w:rPr>
        <w:t xml:space="preserve"> under </w:t>
      </w:r>
      <w:r>
        <w:rPr>
          <w:b/>
        </w:rPr>
        <w:t>hennes²</w:t>
      </w:r>
      <w:r>
        <w:rPr>
          <w:b w:val="0"/>
        </w:rPr>
        <w:t xml:space="preserve"> återstående livstid. Jag skulle tro, att de bevekande omständigheter, som här föreligga, då </w:t>
      </w:r>
      <w:r>
        <w:rPr>
          <w:b/>
        </w:rPr>
        <w:t>änkan²</w:t>
      </w:r>
      <w:r>
        <w:rPr>
          <w:b w:val="0"/>
        </w:rPr>
        <w:t xml:space="preserve"> är 57 år gammal och medellös, äro sådana, att riksdagen borde gå in för att lämna </w:t>
      </w:r>
      <w:r>
        <w:rPr>
          <w:b/>
        </w:rPr>
        <w:t>henne²</w:t>
      </w:r>
      <w:r>
        <w:rPr>
          <w:b w:val="0"/>
        </w:rPr>
        <w:t xml:space="preserve"> det ringa understöd, som i motionen har föreslagits.</w:t>
        <w:br/>
        <w:br/>
        <w:t>Jag ber alltså, herr talman, att med stöd av dessa synpunkter och av vad Jag anfört i motionen få yrka bifall till den i ämnet väckta motionen.</w:t>
      </w:r>
    </w:p>
    <w:p>
      <w:pPr>
        <w:pStyle w:val="Heading2"/>
      </w:pPr>
      <w:r>
        <w:t>2. Nils Winkler (Lantmanna- och borgarepartiet inom andrakammaren, man)</w:t>
      </w:r>
    </w:p>
    <w:p>
      <w:r>
        <w:rPr>
          <w:b w:val="0"/>
        </w:rPr>
        <w:t>Herr talman! Jag skall be att få yrka bifall till bankoutskottets hemställan. Jag ser av mina anteckningar, att jag icke var närvarande i utskottet, då detta ärende första gången behandlades, och jag känner därför icke fullständigt till det rätta sammanhanget, men jag är alldeles övertygad om att bankoutskottet utfört en mycket noggrann prövning även av detta ärende, innan det sagt sig icke kunna förorda bifall till motionen.</w:t>
        <w:br/>
        <w:br/>
        <w:t>Jag hemställer som sagt om bifall till utskottets hemställan.</w:t>
        <w:br/>
        <w:br/>
        <w:t>åt lappfogden motioner, i vad de skilde sig från Kungl. Maj:ts förslag, måtte bifalla Kungl.</w:t>
      </w:r>
    </w:p>
    <w:p>
      <w:pPr>
        <w:pStyle w:val="Heading2"/>
      </w:pPr>
      <w:r>
        <w:t>3. Jöran Grapenson (Lantmanna- och borgarepartiet inom andrakammaren, man)</w:t>
      </w:r>
    </w:p>
    <w:p>
      <w:r>
        <w:rPr>
          <w:b w:val="0"/>
        </w:rPr>
        <w:t>Herr talman, mina herrar! Det föreliggande ärendet avser pensionering av efterlevande till en person, lappfogden Holm, som tjänat det allmänna i det allra närmaste under 30 års tid. Av dessa 30 år har Holm tjänstgjort omkring 17.5 år som ordinarie folkskollärare i en statens folkskola och därefter i drygt 12 år som lappfogde i Norrbottens övre distrikt. Den senare tjänsten har varit av sådan art, att den tillsatts genom förordnande på viss tid. Med sistnämnda tjänst ha inga pensionsförmåner varit förenade. Det har varit ifrågasatt, att dessa fyra tjänster — vi ha nämligen icke fler än fyra tjänster av denna art för närvarande i landet, och det torde icke heller bli åtminstone avsevärt flera —- skulle regleras och att pensionsrätt skulle beredas deras ordinarie innehavare. Emellertid sammankopplades frågan härom med landsfiskalernas m. fl. lönefråga, och den frågan har enligt vad som uppgivits för mig legat under utrednirg i åtminstone 6 eller 7 år och</w:t>
        <w:br/>
        <w:br/>
        <w:t>'är ännu i denna dag icke löst.</w:t>
        <w:br/>
        <w:br/>
        <w:t>Den avlidne erhöll under sin tolvåriga tjänstetid som lappfogde förordnande som folkskolinspektör år 1921 och hade sålunda utsikt att mottaga en tjänst, med vilken pensionsförmån för efterlevande var fastställd. Genom påtryckningar från högre ort förmåddes han emellertid att avsäga sig denna tjänst, därför att han ansågs omistlig på den post, han förut innehade.</w:t>
        <w:br/>
        <w:br/>
        <w:t xml:space="preserve">Hans tjänstgöring som lappfogde var av mycket ansträngande art. Han hade under tolv år måst vandra omkring i fjällen, och vid vissa tillfällen på sina resor måste han utsätta sig för oerhörda ansträngningar, fick vidkännas förkylningar o. s. v., med påföljd att denne kraftige mans hälsa jämförelsevis tidigt blev bruten. Han har skött sin tjänst på ett synnerligen förtjänstfullt sätt. Hans efterlevande </w:t>
      </w:r>
      <w:r>
        <w:rPr>
          <w:b/>
        </w:rPr>
        <w:t>maka³</w:t>
      </w:r>
      <w:r>
        <w:rPr>
          <w:b w:val="0"/>
        </w:rPr>
        <w:t xml:space="preserve"> är sjuklig, så att det till och med är fråga, om </w:t>
      </w:r>
      <w:r>
        <w:rPr>
          <w:b/>
        </w:rPr>
        <w:t>hon²</w:t>
      </w:r>
      <w:r>
        <w:rPr>
          <w:b w:val="0"/>
        </w:rPr>
        <w:t xml:space="preserve"> icke är kroniskt sjuk i den omfattning, att </w:t>
      </w:r>
      <w:r>
        <w:rPr>
          <w:b/>
        </w:rPr>
        <w:t>hon²</w:t>
      </w:r>
      <w:r>
        <w:rPr>
          <w:b w:val="0"/>
        </w:rPr>
        <w:t xml:space="preserve"> icke kan draga försorg om sin familj. Det finns nämligen fem barn i familjen.</w:t>
        <w:br/>
        <w:br/>
        <w:t>Riksdagen har åt en annan dylik tjänstinnehavare förlidet år beviljat pension efter de grunder, som gälla för befattningshavare i lönegraden B 24. Den pension, som nu har föreslagits till den avlidne lappfogden Holms familj, uppgår icke till så stort belopp. Utskottet säger, att det icke kan reflektera på de motioner, som i detta ärende blivit väckta dels i denna kammare, dels i första kammaren. I första kammaren har nämligen väckts en motion av herr Asplund, underskriven av herrar Bergqvist, Jonsson, Johansson och Hansén, och i denna kammare har undertecknad väckt motion i samma ärende. Utskot-</w:t>
        <w:br/>
        <w:br/>
        <w:t>tet framhåller, att det icke har kunnat gå med på att lappfogde Holms pen-</w:t>
        <w:br/>
        <w:br/>
        <w:t>sionsfråga skulle behandlas efter samma grunder som lappfogde Staaffs, därför att Holm icke betalat några pensionsavgifter. Med den kännedom jag hade om den avlidne, är jag viss om att han skulle hava betalt sina avgifter med glädje, om han hade haft möjlighet därtill, d. v. s. om det hade funnits någon kassa, som hade mottagit hans avgifter, men en sådan fanns icke att tillgå.</w:t>
        <w:br/>
        <w:br/>
        <w:t>Vidare har man ju att komma ihåg, att den avlidne under de mer än 17 år, han tjänstgjorde som folkskollärare, dock har inbetalat, enligt vad jag i dag övertygat mig om hos statens pensionsanstalt, i familjepensionsavgifter cirka 650 kronor. Det är i alla fall avgifter, som ha hamnat i statens ficka och som kommit staten helt till godo därigenom, att den avlidne övergått till annan tjänst. Nu förstår jag mycket väl, att man formellt sett icke behöver</w:t>
        <w:br/>
        <w:br/>
        <w:t xml:space="preserve">taga hänsyn till dessa pensionsavgifter, som den avlidne under livstiden er- Ang. pension lade, men dessa medel ha dock tillfallit staten. De finnas i den ficka, som år. pplogden kallas statens pensionsanstalt. Den avlidne har under sin återstående livstid </w:t>
      </w:r>
      <w:r>
        <w:rPr>
          <w:b/>
        </w:rPr>
        <w:t>änka²</w:t>
      </w:r>
      <w:r>
        <w:rPr>
          <w:b w:val="0"/>
        </w:rPr>
        <w:t xml:space="preserve"> och — tjänat staten i en befattning, där inga pensionsförmåner hunnit ordnas. Det minderåriga har uppgivits mig, att om en efter sannolika grunder inrättad pensionering för barn. lappfogdetjänsten hade förefunnits under Holms tjänstetid, så skulle de av (Forts. Holm erlagda avgifterna till statens pensionsanstalt eller då för tiden till folkskollärarnas </w:t>
      </w:r>
      <w:r>
        <w:rPr>
          <w:b/>
        </w:rPr>
        <w:t>änkeoch²</w:t>
      </w:r>
      <w:r>
        <w:rPr>
          <w:b w:val="0"/>
        </w:rPr>
        <w:t xml:space="preserve"> pupillkassa nära nog ha motsvarat de inbetalningar, han såsom lappfogde skulle ha gjort till vederbörande pensionskassa, om nu sådan hade funnits att tillgå för lappfogdarna. Det förefaller mig sålunda, att här föreligger ett fall, där varken utskottet eller vederbörande i övrigt av formella skäl icke kunnat skipa rättvisa, men tilllika ett fall, där riksdagen med hänsyn till vad rätt och billighet är kan göra det. Man kan ju säga, att den avlidne betalt pensionsavgifter trots det att dessa tillfallit en annan gren av det svenska pensionsväsendet än den, som den avlidne vid dödsfallet tillhörde. På denna grund synes det mig, att riksdagen jämväl med hänsyn till att en tidigare tjänstinnehavare av samma art i pensionshänseende hänförts till grupp B 24 också i detta fall med tanke på de avgifter, som den avlidne betalat, hänför även hans efterlevande till denna grupp och tillerkänner dem pension i enlighet med det yrkande, som framförts i den av mig väckta motionen. Jag ber därför, herr talman, att få yrka bifall till den av mig på denna punkt avlämnade motionen. Skillnaden mellan mitt yrkande och utskottets förslag är följande: Utskottet föreslår, att familjen i fråga skall tillerkännas en pension för </w:t>
      </w:r>
      <w:r>
        <w:rPr>
          <w:b/>
        </w:rPr>
        <w:t>änkans²</w:t>
      </w:r>
      <w:r>
        <w:rPr>
          <w:b w:val="0"/>
        </w:rPr>
        <w:t xml:space="preserve"> del med 900 kronor om året och för vart och ett av barnen med 180 kronor om året, till dess de uppnått 18 års ålder. Då det finns fem barn, blir alltså hela pensionsbeloppet 1,800 kronor. Enligt motionen skulle däremot </w:t>
      </w:r>
      <w:r>
        <w:rPr>
          <w:b/>
        </w:rPr>
        <w:t>änkans²</w:t>
      </w:r>
      <w:r>
        <w:rPr>
          <w:b w:val="0"/>
        </w:rPr>
        <w:t xml:space="preserve"> pension utgå med 1,400 kronor om året och barnens sammanlagt med 1,120 kronor eller tillsammans 2,520 kronor. Skillnaden är sålunda drygt 700 kronor.</w:t>
      </w:r>
    </w:p>
    <w:p>
      <w:pPr>
        <w:pStyle w:val="Heading2"/>
      </w:pPr>
      <w:r>
        <w:t>4. Nils Winkler (Lantmanna- och borgarepartiet inom andrakammaren, man)</w:t>
      </w:r>
    </w:p>
    <w:p>
      <w:r>
        <w:rPr>
          <w:b w:val="0"/>
        </w:rPr>
        <w:t xml:space="preserve">Herr talman, mina herrar! Jag skall endast upptaga tiden ett ögonblick. Herr Grapenson är icke nöjd med den av Kungl. Maj:t föreslagna och av bankoutskottet tillstyrkta pensionen vare sig för </w:t>
      </w:r>
      <w:r>
        <w:rPr>
          <w:b/>
        </w:rPr>
        <w:t>änkan²</w:t>
      </w:r>
      <w:r>
        <w:rPr>
          <w:b w:val="0"/>
        </w:rPr>
        <w:t xml:space="preserve"> eller för barnen. Det är ju icke gott att tillfredsställa alla. Det är Ju alldeles uppenbart, att vi allesammans influeras av om en fråga gäller pensionering av en person på vår egen hemort. Då vill man gärna låta sitt hjärta ömma litet mera än om det gäller en person, som bor längre bort och som man icke närmare känner till.</w:t>
        <w:br/>
        <w:br/>
        <w:t xml:space="preserve">Här är emellertid följande förhållande ett faktum, nämligen att lappfogdetjänsterna icke äro uppförda på ordinarie stat och sålunda icke äro berättigade till pension. Det är alltså endast fråga om ett fullkomligt godvilligt understöd från statens sida. Det finns emellertid prejudicerande fall, i det att det beviljats sådant understöd förut. Statskontoret har emellertid i sitt utlåtande sagt, att man icke borde gå så långt, som Kungl. Maj:t föreslagit, eller 900 kronor till </w:t>
      </w:r>
      <w:r>
        <w:rPr>
          <w:b/>
        </w:rPr>
        <w:t>änkan²</w:t>
      </w:r>
      <w:r>
        <w:rPr>
          <w:b w:val="0"/>
        </w:rPr>
        <w:t xml:space="preserve"> och 180 kronor till vart och ett av barnen, utan det anser, att med hänsyn till att det fanns en betydande förmögenhet i boet, uppgående till 40,256 kronor 58 öre, när mannen dog, bör man stanna vid 600 kronor till </w:t>
      </w:r>
      <w:r>
        <w:rPr>
          <w:b/>
        </w:rPr>
        <w:t>änkan²</w:t>
      </w:r>
      <w:r>
        <w:rPr>
          <w:b w:val="0"/>
        </w:rPr>
        <w:t xml:space="preserve"> och 120 kronor för vart och ett av barnen. Kungl. Maj:t har emellertid med hänsyn till vissa av de omständigheter, som här anfördes av herr Grapenson, ansett, att dessa sistnämnda belopp borde något höjas, och har därför som sagt föreslagit 900 kronor till </w:t>
      </w:r>
      <w:r>
        <w:rPr>
          <w:b/>
        </w:rPr>
        <w:t>änkan²</w:t>
      </w:r>
      <w:r>
        <w:rPr>
          <w:b w:val="0"/>
        </w:rPr>
        <w:t xml:space="preserve"> och 180 kronor till vart och ett av barnen, intill dess de uppnå 18 års ålder. Detta har bankoutskottet gått med på, och jag hoppas också, att riksdagen skall stanna vid detta och icke gå längre.</w:t>
        <w:br/>
        <w:br/>
        <w:t>Det kan nämligen icke vara lämpligt att utsöka en annan lönegrad, som man anser skulle passa bättre för en person, som faktiskt icke har denna lönegrad. Det har inträffat många gånger förut, att man försökt få en person uppflyttad 1 en annan klass än den, som han vid pensionsåldern har kommit till, men sådana försök ha alltid avslagits både av bankoutskottet och av riksdagen.</w:t>
        <w:br/>
        <w:br/>
        <w:t>Jag hemställer därför om bifall till bankoutskottets förslag. Jag anser, att det bör vara fullt tillfredsställande i det föreliggande fallet, och att även herr Grapenson bör kunna vara nöjd med detsamma.</w:t>
      </w:r>
    </w:p>
    <w:p>
      <w:pPr>
        <w:pStyle w:val="Heading2"/>
      </w:pPr>
      <w:r>
        <w:t>5. Ernst Lindley (Socialdemokraterna, man)</w:t>
      </w:r>
    </w:p>
    <w:p>
      <w:r>
        <w:rPr>
          <w:b w:val="0"/>
        </w:rPr>
        <w:t xml:space="preserve">Herr talman! En dag som denna, då man behandlar bankoutskottets alla utlåtanden över pensionsfrågor, ställes man mer än en gång i det predikamentet att å ena sidan såsom bankoutskottet se lugnt, kallt och principiellt på de olika pensionsfrågorna och å andra sidan någon liten smula väga och lyssna till vad hjärtat säger. Jag skulle icke begärt ordet i denna fråga för att ge mitt understöd till det yrkande, som herr Grapenson framställt, om jag icke så intimt känt den avlidne Johan Olof Holm och hans verksamhet som lappfogde däruppe i vårt nordligaste län. Bankoutskottets ärade ordförande sade gent emot herr Grapenson, att när det gällde en per- 'son ifrån ens egen hemtrakt, så var man mera öm. Jag ber att få säga, att jag är icke från den trakten men har på grund av vissa uppdrag däruppe kommit i så intim kontakt med dessa lappfogdar, att jag väl kan ge mitt vitsord både rörande den ena och den andra, och jag tror, att jag utan överdrift kan säga, att om vi skulle försöka att i någon mån bedöma deras verksamhet, torde Johan Olof Holm vara en av dem, som främst fyllt sin uppgift som lappfogde, detta sagt utan att på något sätt förringa andras arbete. Men det är sant, att detta spelar mycket liten roll, när man skall matematiskt beräkna och utmäta dessa understöd. Nu kan jag icke underlåta att understryka vad herr Grapenson sagt, nämligen att Holm offrat omkring 30 år i det allmännas tjänst, därav cirka 12 år såsom lappfogde, på en post alltså, där man icke hade pensionsfrågorna reglerade. Han hade dock förut i icke mindre än 16 år bidragit med att betala pensionsavgifter för den tjänst, som han innehade såsom folkskollärare för att på det sättet skydda sin och sin familjs ålderdom. Nu är det att märka, att den, som bäst haft kännedom om Holms förhållanden och ställning där uppe — man bör åtminstone tro det — nämligen länsstyrelsen — har i sin framställning yrkat, att den pension, som skulle tilldelas hans efterlevande </w:t>
      </w:r>
      <w:r>
        <w:rPr>
          <w:b/>
        </w:rPr>
        <w:t>änka²</w:t>
      </w:r>
      <w:r>
        <w:rPr>
          <w:b w:val="0"/>
        </w:rPr>
        <w:t xml:space="preserve"> och barn, skulle utmätas efter lönegruppen B 26, vilket skulle betyda, att </w:t>
      </w:r>
      <w:r>
        <w:rPr>
          <w:b/>
        </w:rPr>
        <w:t>änkan²</w:t>
      </w:r>
      <w:r>
        <w:rPr>
          <w:b w:val="0"/>
        </w:rPr>
        <w:t xml:space="preserve"> finge 1,590 kronor samt barnen 1,272 kronor eller tillsammans 2,862 kronor. Denna summa har så småningom reducerats till det som Kungl. Maj:t kommit fram med och begärt riksdagens bifall till, nu tillstyrkt av bankoutskottet.</w:t>
        <w:br/>
        <w:br/>
        <w:t xml:space="preserve">Herr talman, man frestas så lätt, när man talar i sådana här frågor, att emellanåt göra jämförelser, och det har man ju gjort förut i dag. Jag tillåter mig, herr talman, att göra en liten jämförelse mellan det nog så blygsamt tillmätta understödet, som skall tilldelas Holm, och det understöd, som behandlas under punkten 1:0) i detta bankoutskottets utlåtande, det nämligen, som gäller ett understöd åt </w:t>
      </w:r>
      <w:r>
        <w:rPr>
          <w:b/>
        </w:rPr>
        <w:t>änkefru²</w:t>
      </w:r>
      <w:r>
        <w:rPr>
          <w:b w:val="0"/>
        </w:rPr>
        <w:t xml:space="preserve"> Sjöstedt, </w:t>
      </w:r>
      <w:r>
        <w:rPr>
          <w:b/>
        </w:rPr>
        <w:t>änka²</w:t>
      </w:r>
      <w:r>
        <w:rPr>
          <w:b w:val="0"/>
        </w:rPr>
        <w:t xml:space="preserve"> efter pressombudet i Paris. Här gällde det ett belopp av 1,200 kronor, trots det att, efter vad jag tror mig finna, inga som helst bidrag från den avlidnes sida lämnats i form av pensionsavgifter. Om denna pension säger nu utskottet — man är lycklig nog att kunna säga det — att man endast återfölle på 1922 års riksdagsbeslut, när det gällde pension till </w:t>
      </w:r>
      <w:r>
        <w:rPr>
          <w:b/>
        </w:rPr>
        <w:t>änkan²</w:t>
      </w:r>
      <w:r>
        <w:rPr>
          <w:b w:val="0"/>
        </w:rPr>
        <w:t xml:space="preserve"> efter pressombudet i London Valentin, då det utlämnades i understöd 1,200 kronor. Man har nu, då det räknats med en pension till </w:t>
      </w:r>
      <w:r>
        <w:rPr>
          <w:b/>
        </w:rPr>
        <w:t>änkefru²</w:t>
      </w:r>
      <w:r>
        <w:rPr>
          <w:b w:val="0"/>
        </w:rPr>
        <w:t xml:space="preserve"> Holm, i utskottet pekat på den avlidnes efterlämnade förmögenhet, vilken enligt propositionen visat sig vara rätt så stor, en behåll-</w:t>
        <w:br/>
        <w:br/>
        <w:t xml:space="preserve">ning som enligt de motioner, som väckts av herr Grapenson i andra kammaren och herr Asplund i första kammaren, visat sig betydligt mindre, då den blivit reducerad till vad den i verkligheten är. Jag har tittat efter i 1922 års riksdagshandlingar för att en liten smula påminna mig fallet Valentin. Här vill jag säga, att jag ingalunda klandrar utskottet, jag har ju själv bidragit till detta beslut, men det fallet låg till på ungefär liknande sätt, där det gällde förmögenhet. Kungl. Maj:t föreslog som bekant år 1922 en pension till den avlidnes </w:t>
      </w:r>
      <w:r>
        <w:rPr>
          <w:b/>
        </w:rPr>
        <w:t>änka²</w:t>
      </w:r>
      <w:r>
        <w:rPr>
          <w:b w:val="0"/>
        </w:rPr>
        <w:t xml:space="preserve"> på 1,200 kronor. </w:t>
      </w:r>
      <w:r>
        <w:rPr>
          <w:b/>
        </w:rPr>
        <w:t>Hon²</w:t>
      </w:r>
      <w:r>
        <w:rPr>
          <w:b w:val="0"/>
        </w:rPr>
        <w:t xml:space="preserve"> hade redan förut då från Publicistklubben i understöd 1,250 kronor, och </w:t>
      </w:r>
      <w:r>
        <w:rPr>
          <w:b/>
        </w:rPr>
        <w:t>hon²</w:t>
      </w:r>
      <w:r>
        <w:rPr>
          <w:b w:val="0"/>
        </w:rPr>
        <w:t xml:space="preserve"> fick vidare makens lösegendom, som vid en försäljning inbringade icke mindre än 18,700 kronor. Då var det i utskottet så, att utskottet gick på avslag av Kungl. Maj:ts proposition, men en liten grupp reservanter, bestående av herrar Karlsson, Lovén och Borggren, föreslog ett belopp av 1,000 kronor. Första kammaren biföll Kungl. Maj:ts förslag om 1,200 kronor, men andra kammaren gick på utskottets linje och avslog framställningen, vadan den gemensamma voteringen löste frågan, och </w:t>
      </w:r>
      <w:r>
        <w:rPr>
          <w:b/>
        </w:rPr>
        <w:t>hon²</w:t>
      </w:r>
      <w:r>
        <w:rPr>
          <w:b w:val="0"/>
        </w:rPr>
        <w:t xml:space="preserve"> fick sitt understöd på 1,200 kronor med 192 röster mot 150. Jag tycker, att det skulle funnits möjlighet för utskottet att med något frångående av sina kalla beräkningar göra en jämförelse mellan detta fall och det nu ifrågavarande. Ja, man kan ju, herr talman, säga såsom skalden: Olika falla ödets lotter.</w:t>
        <w:br/>
        <w:br/>
        <w:t>Det har nämnts här, att denne Holm under 30 år varit verksam i det allmännas tjänst och därav under 12 år som lappfogde där uppe, då han faktiskt fick utföra ett riktigt hundgöra, som man brukar kalla det, i dessa bygder. När vi nyss behandlade bankoutskottets utlåtande nr 31, beviljade vi utan vidare en pension på 720 kronor åt en f. d. faktor vid Mobråtens sågverk Nils Gustaf Rydén, vilken av en ren tillfällighet råkat komma i statens tjänst, där han sedan kvarstod i 4 år. Domänverket hade nämligen inköpt skog där uppe, och därmed följde också detta sågverk. Under 4 år bedrevs arbetet vid detta sågverk för statens räkning, och denne faktor fick 720 kronor, vilket jag mer än väl unnar honom. Men om man jämför detta fall med det föreliggande, frågar jag herrarna: Skulle vi icke kunna ha hjärta att gå med på motionärernas förslag, som står mellan det av länsstyrelsen framställda förslaget om en pension efter lönegruppen B 26 och det av Kungl. Maj:t framlagda förslaget och i stället stanna vid en pension efter lönegruppen B 24 eller samma grund, som gäller för den pension, som vi föregående år beviljade förre lappfogden A. Staaff?</w:t>
        <w:br/>
        <w:br/>
        <w:t>Herr talman! Det är dessa saker, som ligga mig på hjärtat, då jag bedömer denna fråga. Den, vilken såsom jag har kännedom om vad Holm egentligen betydde för detta arbete, vet, att han hade kunnat, om han kvarstått såsom folkskollärare, på ett mycket bättre sätt trygga sin familjs ställning, om han icke lyssnat till deras röster, som i vetskap om mannens förmåga, duglighet och driftighet så att säga drevo honom att stanna såsom lappfogde och drevo honom till att lämna folkskolinspektörstjänsten. Det är därför som jag med hela mitt hjärta yrkar avslag på bankoutskottets förslag och bifall till det förslag, som framställts i motion i första kammaren av herr Asplund och i motion i andra kammaren av herr Grapenson.</w:t>
        <w:br/>
        <w:br/>
      </w:r>
      <w:r>
        <w:rPr>
          <w:b/>
        </w:rPr>
        <w:t>änka²</w:t>
      </w:r>
      <w:r>
        <w:rPr>
          <w:b w:val="0"/>
        </w:rPr>
        <w:t xml:space="preserve">.” dor Calanders </w:t>
      </w:r>
      <w:r>
        <w:rPr>
          <w:b/>
        </w:rPr>
        <w:t>änka²</w:t>
      </w:r>
      <w:r>
        <w:rPr>
          <w:b w:val="0"/>
        </w:rPr>
        <w:t xml:space="preserve"> Margareta Calander i Sofia församling, Jönköpings stad, ett årligt understöd av 500 kronor.</w:t>
      </w:r>
    </w:p>
    <w:p>
      <w:pPr>
        <w:pStyle w:val="Heading2"/>
      </w:pPr>
      <w:r>
        <w:t>6. Ragnar Lundqvist (Högerns riksdagsgrupp, man)</w:t>
      </w:r>
    </w:p>
    <w:p>
      <w:r>
        <w:rPr>
          <w:b w:val="0"/>
        </w:rPr>
        <w:t xml:space="preserve">Herr talman! I denna motion har jag avsett att åstadkomma pension åt </w:t>
      </w:r>
      <w:r>
        <w:rPr>
          <w:b/>
        </w:rPr>
        <w:t>änkan²</w:t>
      </w:r>
      <w:r>
        <w:rPr>
          <w:b w:val="0"/>
        </w:rPr>
        <w:t xml:space="preserve"> efter avlidne avdelningsingenjören vid statens järnvägsbyggnader J. T. Calander.</w:t>
        <w:br/>
        <w:br/>
        <w:t>Nu säger utskottet i sitt betänkande: »Då denne tjänsteman i form av högre avlöning än andra motsvarande befattningshavare åtnjutit ersättning för frånvaron av familjepensionsrätt, har utskottet, i överensstämmelse med den praxis, för vilken under nästföregående punkt redogjorts, ansett sig böra avstyrka bifall till motionen.»</w:t>
        <w:br/>
        <w:br/>
        <w:t>Jag ber då först och främst att få säga, att detta uttalande om den högre lönen såsom ersättning för frånvaron av familjepensionsrätt är en sanning med ganska stor modifikation. Jag ber att i det hänseendet få erinra om ett uttalande, som fanns i propositionen nr 100 vid 1906 års riksdag, där det just gällde pension åt ett par sådana byggnadstjänstemän. I propositionen i fråga åberopas ett uttalande av järnvägsstyrelsen, alltså samma myndighet, som nu av utskottet åberopas för dess ståndpunktstagande. Däri heter det bland annat följande: »De förhållanden, under vilka tjänstemännen i fråga, som under en följd av år varit underkastade ett ojämförligt mera ansträngande, krafterna utslitande och hälsoförstörande arbete än de flesta andra statens tjänstemän, verkat, hade gjort det så gott som omöjligt för dem att av sina relativt små löneinkomster avsätta något för ålderdomen. I sistnämnda hänseende vore att erinra, att de varit underkastade ständiga ombyten av vistelseort, därvid de ofta nödsakats att leva skilda från sina familjer, vilket naturligen varit för deras ekonomi betungande, eller fått medföra familjerna vid dessa flyttningar, något som ock — även om staten lämnat bidrag till flyttningskostnadernas bestridande — varit för dem kostsamt. Jämväl i och för sig hade för övrigt levnadskostnaderna å de orter, där de måst uppehålla sig, i regel till följd av</w:t>
        <w:br/>
        <w:br/>
        <w:t>knapp tillförsel eller andra förhållanden varit högt uppdrivna.» Det är att ihågkomma, att dessa tjänstemän äro sådana, som varit med om själva byggandet och framdragandet av nya järnvägslinjer och som alltså måst leva</w:t>
        <w:br/>
        <w:br/>
        <w:t>under säregna förhållanden. Detta alltså något om de allmänna principiella ingenjören J.</w:t>
        <w:br/>
        <w:br/>
        <w:t>I det fall, som det här är fråga om, ligga förhållandena emellertid alldeles särskilt till, vilket jag ber att få erinra om. Bankoutskottet har icke ansett sig behöva införskaffa några som helst upplysningar om denne man — av vilken anledning känner jag givetvis icke till. Om bankoutskottet t. ex. hade infordrat yttrande från järnvägsstyrelsen, som ju kunnat lämna uppgifter i frågan, tror jag, att en hel del upplysningar kunnat komma fram, som borde ha haft inverkan på bankoutskottets ställningstagande i frågan.</w:t>
        <w:br/>
        <w:br/>
        <w:t>Jag tillåter mig att till en början fästa uppmärksamheten på, att den avdelningsingenjör, som det är fråga om, fick sitt avsked redan år 1906, vid en ålder av 54 år. Avskedandet föranleddes icke av något annat än att det icke längre fanns sysselsättning vid järnvägsbyggandet. Han hade alltså icke tillfälle att få åtnjuta sin normala lön ända till pensionsåldern utan tvingades att sluta 11 eller 13 år, innan den vanliga pensionsåldern uppnåddes. Jag tillåter mig vidare erinra om, att år 1906, alltså det år, då denne ingenjör slutade, var det sista år, under vilket de gamla lönerna tillämpades. Det av riksdagen år 1907 genomförda nya avlöningsreglementet vid statens järnvägar medförde för dessa avdelningsingenjörer en genomsnittlig höjning av lönen med omkring 50 Z. Denna avsevärda höjning visar enligt mitt förmenande, att de löner, som utgingo t. o. m. år 1906, voro orimligt låga och så små, att utsikterna att kunna lägga av något för familjens ålderdom voro utomordentligt ringa. — Jag kan nämna att när denne ingenjör avgick år 1906, hade han de senaste åren haft en lön på 5,760 kronor. Detta är alltså det belopp, som det var fråga om, vilket, om man tänker på de förhållanden, under vilka dessa byggnadstjänstemän, såsom järnvägsstyrelsen anför, levde, icke kan anses särskilt högt. Härtill kommer emellertid, att denna lön upphörde redan 1906 och att Calander fr. 0. m. år 1906 icke haft någon annan inkomst än den pension, som riksdagen beviljat, uppgående till ett belopp av 1,800 kronor. Det är hela den årsinkomst, på vilken han och hans familj dragit sig fram från 1906 till 1929, alltså under 23 år. År 1929 dog mannen i fråga. Jag tillåter mig verkligen fråga, om bankoutskottet anser, att när en familj under de senaste 23 åren haft endast denna inkomst på 1,800 kronor jämte under de sista åren dyrtidstillägg därå, mannen också haft den möjlighet, som man här vill göra gällande, att kunna lägga av så mycket, så att hans familj borde kunna klara sig, sedan han gått</w:t>
        <w:br/>
        <w:br/>
        <w:t>bort. För min ringa del måste jag säga, att jag har ganska svårt att förstå</w:t>
        <w:br/>
        <w:br/>
        <w:t>en sådan uppfattning. Dessa särskilda förhållanden har emellertid bankoutskottet faktiskt icke tagit någon som helst hänsyn till, och dock synas de mig vara av den synnerliga vikt, att de borde ha föranlett en ingående prövning av föreliggande motion.</w:t>
        <w:br/>
        <w:br/>
        <w:t xml:space="preserve">Jag ber att vidare få erinra om att den efterlevande </w:t>
      </w:r>
      <w:r>
        <w:rPr>
          <w:b/>
        </w:rPr>
        <w:t>änkan²</w:t>
      </w:r>
      <w:r>
        <w:rPr>
          <w:b w:val="0"/>
        </w:rPr>
        <w:t xml:space="preserve"> är 78 år gammal samt ligger för närvarande sedan år tillbaka på sjukhus, oförmögen att kunna uträtta något arbete. Jag tillåter mig vidare att erinra om att, när maken dog år 1929, fanns det i boet en behållning, uppgående till 1,015 kronor 25 öre, och att det intygas från ordföranden i fattigvårdsstyrelsen, såsom det även står i utskottets utlåtande, att »</w:t>
      </w:r>
      <w:r>
        <w:rPr>
          <w:b/>
        </w:rPr>
        <w:t>hennes²</w:t>
      </w:r>
      <w:r>
        <w:rPr>
          <w:b w:val="0"/>
        </w:rPr>
        <w:t xml:space="preserve"> tillgång i giftorätt uti boet säkerligen förbrukats för lasarettsvård på grund av </w:t>
      </w:r>
      <w:r>
        <w:rPr>
          <w:b/>
        </w:rPr>
        <w:t>hennes²</w:t>
      </w:r>
      <w:r>
        <w:rPr>
          <w:b w:val="0"/>
        </w:rPr>
        <w:t xml:space="preserve"> iråkade olycksfall».</w:t>
        <w:br/>
        <w:br/>
        <w:t>Jag har mot bakgrunden av nu anförda förhållanden utomordentligt svårt att förstå, hurusom utskottet uteslutande på grund därav att mannen i fråga under sin livstid tillhört en viss angiven befattningshavargrupp ansett sig kunna yrka avslag på den väckta motionen. Jag måste, herr talman, finna,</w:t>
        <w:br/>
        <w:br/>
        <w:t>att utskottets ställningstagande till motionen icke grundar sig på hållbara förutsättningar och ber därför att få yrka bifall till den av mig väckta motionen med det tillägget, att pensionsbeloppet skall utgå ur allmänna indragningsstaten. Detta senare är icke särskilt angivet i motionen.</w:t>
      </w:r>
    </w:p>
    <w:p>
      <w:pPr>
        <w:pStyle w:val="Heading2"/>
      </w:pPr>
      <w:r>
        <w:t>7. Nils Winkler (Lantmanna- och borgarepartiet inom andrakammaren, man)</w:t>
      </w:r>
    </w:p>
    <w:p>
      <w:r>
        <w:rPr>
          <w:b w:val="0"/>
        </w:rPr>
        <w:t>Herr talman! Det skulle taga alldeles för lång tid att i detalj gå in på den ärade talarens anmärkningar. Denna fråga har ju också debatterats så många gånger.</w:t>
        <w:br/>
        <w:br/>
        <w:t xml:space="preserve">Jag vill icke förneka, att ömmande omständigheter kunna föreligga. Dessa som det här gäller, ha icke pensionsrätt, men då vill man, att de skola få understöd. Ja, var så god bemärk den föregående punkten, där vi, oaktat Kungl. Maj:t föreslagit pension åt en </w:t>
      </w:r>
      <w:r>
        <w:rPr>
          <w:b/>
        </w:rPr>
        <w:t>änka²</w:t>
      </w:r>
      <w:r>
        <w:rPr>
          <w:b w:val="0"/>
        </w:rPr>
        <w:t xml:space="preserve"> på alldeles samma grunder som i föreliggande fall, dock avstyrkt den kungl. propositionen. Jag vill försäkra, att bankoutskottet icke gärna avstyrker kungl. propositioner. Finns det någon möjlighet att taga dem, så taga vi dem. Däremot pröva vi de enskilda motionärernas framställningar litet noggrannare. Förevarande punkt avser en </w:t>
      </w:r>
      <w:r>
        <w:rPr>
          <w:b/>
        </w:rPr>
        <w:t>änka²</w:t>
      </w:r>
      <w:r>
        <w:rPr>
          <w:b w:val="0"/>
        </w:rPr>
        <w:t xml:space="preserve"> efter en högre tjänsteman, som varit anställd vid järnvägsbyggnaderna. Där ha de, enligt vad järnvägsstyrelsen meddelat, högre löner än inom järnvägsförvaltningen i övrigt, och lönebestämmelserna innefatta uttryckligen, att deras änkor och barn icke få pension. Den saken få de ordna själva. Avsikten är, att de av den högre lönen skola lägga av sparmedel, för den händelse de skulle dö och efterlämna </w:t>
      </w:r>
      <w:r>
        <w:rPr>
          <w:b/>
        </w:rPr>
        <w:t>änka²</w:t>
      </w:r>
      <w:r>
        <w:rPr>
          <w:b w:val="0"/>
        </w:rPr>
        <w:t xml:space="preserve"> och barn.</w:t>
        <w:br/>
        <w:br/>
        <w:t xml:space="preserve">Hur ömmande omständigheter än föreligga — ifrågavarande </w:t>
      </w:r>
      <w:r>
        <w:rPr>
          <w:b/>
        </w:rPr>
        <w:t>änka²</w:t>
      </w:r>
      <w:r>
        <w:rPr>
          <w:b w:val="0"/>
        </w:rPr>
        <w:t xml:space="preserve"> är 77 år gammal och sjuk — så har bankoutskottet icke kunnat gå med på motionärens förslag. Det skulle ha medfört, att vi fått tillstyrka pension såväl i föregående punkt som i en hel del andra fall. Det har alltså icke funnits någon möjlighet för bankoutskottet att tillstyrka, vad den ärade motionären föreslagit. Jag att kammaren måtte biträda bankoutskottets förslag i förevarande punkt.</w:t>
      </w:r>
    </w:p>
    <w:p>
      <w:pPr>
        <w:pStyle w:val="Heading2"/>
      </w:pPr>
      <w:r>
        <w:t>8. Carl Wilhelm Oskar Höglund (Socialdemokraterna, man)</w:t>
      </w:r>
    </w:p>
    <w:p>
      <w:r>
        <w:rPr>
          <w:b w:val="0"/>
        </w:rPr>
        <w:t>Herr talman! För att icke behöva stå i misstänkt dager i herr Lundquists ögon vill jag bara erinra om, att för ett par månader sedan avgavs ett bankoutskottsbetänkande, som i enlighet med förslag från Kungl. Maj:t innehöll vissa direktiv just i fråga om dessa banbyggnadstjänstemän och banbyggnadsarbetare. Om jag icke minnes orätt, var herr Lundquist med om att besluta den saken, trots att vi reservanter gingo in för att man i detta fall icke skulle giva några bestämda direktiv. Det är detta, som gör, att man icke i vare sig det ena eller andra fallet kan gå med på dessa motioner, hur behjärtansvärda de än äro. Det är väl ren glömska av herr Lundquist, förmodar jag, att han icke erinrat sig detta beslut. Hade det funnits möjlighet för oss, skulle vi icke ha tvekat att tillstyrka så behjärtansvärda framställningar, men dessa direktiv, som herr Lundquist varit med om att skapa, ha hindrat oss att göra det.</w:t>
      </w:r>
    </w:p>
    <w:p>
      <w:pPr>
        <w:pStyle w:val="Heading2"/>
      </w:pPr>
      <w:r>
        <w:t>9. Ragnar Lundqvist (Högerns riksdagsgrupp, man)</w:t>
      </w:r>
    </w:p>
    <w:p>
      <w:r>
        <w:rPr>
          <w:b w:val="0"/>
        </w:rPr>
        <w:t>Herr talman! Jag vill gentemot den siste ärade talaren säga, att vare sig avgörandet ligger hos riksdagen eller hos Kungl. Maj:t förutsätter man givetvis, att framställningarna skola prövas. Jag håller sålunda före, att även om dessa framställningar överlämnas till Kungl. Maj:t, skulle man kunna få en fullt saklig prövning av desamma.</w:t>
        <w:br/>
        <w:br/>
        <w:t xml:space="preserve">Gentemot utskottets ärade vice ordförande vill jag säga, att det är en väsentlig artskillnad mellan det fall, om vilket jag motionerat, avseende </w:t>
      </w:r>
      <w:r>
        <w:rPr>
          <w:b/>
        </w:rPr>
        <w:t>änkan²</w:t>
      </w:r>
      <w:r>
        <w:rPr>
          <w:b w:val="0"/>
        </w:rPr>
        <w:t xml:space="preserve"> Calander, och det av vice ordföranden omnämnda fallet, som Kungl. Maj:ts proposition avsåg. Jag skyndar mig emellertid att säga, att även Kungl. Maj:ts proposition borde enligt mitt förmenande av utskottet ha tillstyrkts. Men för</w:t>
        <w:br/>
        <w:br/>
        <w:t>att visa, att det finns en skillnad, vill jag erinra om, att denne byggnadschef Westerman, såsom omnämnts i den kungl. propositionen, var i tjänst till och med 1926 och dog år 1929. Den man, som min motion avser, avskedades re-</w:t>
        <w:br/>
        <w:br/>
        <w:t>dan 1906 och dog 1929. Han levde alltså 23 år, sedan han blivit av med den ingenjören J. högre avlöning, som enligt utskottets mening skulle gjort det möjligt för ho- T. Calanders</w:t>
        <w:br/>
        <w:br/>
        <w:t>nom att ordna för sin familj. Alltså, under de sista 23 åren från 1906 till 1929 har han haft till förfogande den pension av 1,800 kronor, som riksdagen var vänlig att bevilja 1906, plus naturligtvis det dyrtidstillägg, som under de senare åren utgått.</w:t>
        <w:br/>
        <w:br/>
        <w:t>Det är mot bakgrunden av detta senare förhållande, att alltså familjen haft endast 1,800 kronor eller under den svåraste dyrtiden, låt mig säga, högst 3,000 kronor, som jag har litet svårt att förstå, hur bankoutskottet kunnat utan vidare, bara därför att tjänstemannen i fråga varit järnvägsbyggare, och ehuru han måst sluta långt innan pensionsåldern, säga, att man icke kan bevilja hans efterlevande något stöd på ålderdomen. Jag tycker, att det är något hårt att resonera på det sättet. Här finns faktiskt en avsevärd skillnad mellan dessa båda fall. Jag tror, att det ur den synpunkten varit motiverat, att utskottet tagit något närmare reda på detta sista fall, vilket jag tror, att utskottet icke gjort.</w:t>
      </w:r>
    </w:p>
    <w:p>
      <w:pPr>
        <w:pStyle w:val="Heading2"/>
      </w:pPr>
      <w:r>
        <w:t>10. Nils Björk (Socialdemokraterna, man)</w:t>
      </w:r>
    </w:p>
    <w:p>
      <w:r>
        <w:rPr>
          <w:b w:val="0"/>
        </w:rPr>
        <w:t>Herr talman! Bakom detta andra lagutskottets utlåtande nr 26 står ett enhälligt utskott med hemställan till riksdagen om avslag på en motion, däri jag hemställt om ändring av $ 72 mom. b) i lagen om samhällets barnavård.</w:t>
        <w:br/>
        <w:br/>
        <w:t xml:space="preserve">Mot ett enhälligt utskott anses det ju knappast lön att hemställa om bifall till en motion. Jag anser mig ändå till kammaren böra framföra några synpunkter, huvudsakligen därför att det synes mig, som om länsstyrelsen, regeringsrätten och Kungl. Maj:t liksom nu även andra lagutskottet vid bedömande av det fall, jag i min motion berört, gått ut ifrån en annan synpunkt, än den, varom anvisning lämnas i den kungl. proposition, som ligger till grund för lagen om samhällets barnavård. Denna proposition innehåller, att då arbetsföreläggande bör tillgripas, hänsyn bl. a. må tagas därtill, att barnets och </w:t>
      </w:r>
      <w:r>
        <w:rPr>
          <w:b/>
        </w:rPr>
        <w:t>moderns²</w:t>
      </w:r>
      <w:r>
        <w:rPr>
          <w:b w:val="0"/>
        </w:rPr>
        <w:t xml:space="preserve"> villkor underlättas, så att barnet besparas onödiga umbäranden, vidare också, att det är ett samhällsintresse, att barnet erhåller vård och uppfostran, som äro ägnade att göra det till en så samhällsduglig medborgare som möjligt, samt ytterligare att samhället genom tvånget mot fadern till bidragsskyldighetens fullgörande tryggas mot risken att förr eller senare nödgas ingripa genom fattigvård eller barnets omhändertagande. Vidare belyses i propositionen, när ett ingripande mot fadern icke bör äga rum. Det heter därom: »Ett inskridande i nu föreslagen ordning mot fadern till ett barn, vars </w:t>
      </w:r>
      <w:r>
        <w:rPr>
          <w:b/>
        </w:rPr>
        <w:t>moder²</w:t>
      </w:r>
      <w:r>
        <w:rPr>
          <w:b w:val="0"/>
        </w:rPr>
        <w:t xml:space="preserve"> befinner sig i särdeles goda ekonomiska villkor, under det att faderns villkor äro jämförelsevis knappa, kan således ej anses böra äga rum.»</w:t>
        <w:br/>
        <w:br/>
        <w:t xml:space="preserve">Det tycks vara efter denna sista anvisning, myndigheterna och andra lagutskottet bedömt det av mig åberopade fallet. Jag kan visserligen medge, att barnet icke genom barnafaderns underlåtenhet att betala underhållsbidrag utsatts eller för närvarande utsättes för umbäranden eller nöd, så länge den unga modern har sina relativt välbärgade föräldrars medgivande att vistas i hemmet. Men det måste poängteras, att modern själv äger ingenting, och den dag </w:t>
      </w:r>
      <w:r>
        <w:rPr>
          <w:b/>
        </w:rPr>
        <w:t>hennes²</w:t>
      </w:r>
      <w:r>
        <w:rPr>
          <w:b w:val="0"/>
        </w:rPr>
        <w:t xml:space="preserve"> tillstånd att vistas i hemmet skulle komma att upphöra, är </w:t>
      </w:r>
      <w:r>
        <w:rPr>
          <w:b/>
        </w:rPr>
        <w:t>hon²</w:t>
      </w:r>
      <w:r>
        <w:rPr>
          <w:b w:val="0"/>
        </w:rPr>
        <w:t xml:space="preserve"> troligen ur stånd att själv försörja sig och sitt barn. Lagen avser ju icke endast att skydda barnet mot nöd och umbäranden utan även att uppfostra detsamma till en så duglig samhällsmedborgare som möjligt för att minska risken av att understöd eller omhändertagande framdeles skall komma i fråga. Det synes mig därför helt naturligt, att barnafaderns bidrag i detta fall borde tagits i anspråk. Barnets föräldrar hade ej själva egna tillgångar. De vistades båda i sina respektive hem och biträdde sina föräldrar vid jordbrukens skötsel, ända tills barnavårdsnämnden erhöll rätt till införsel i faderns avlöning, då denne sökte och erhöll anställning utom hemmet utan lön, som det uppgavs. Båda de ungas föräldrar anses i orten som någorlunda välbärgade bönder. Skillnaden i deras ekonomiska förhållanden är alltför obetydlig för - kunna angivas som skäl till att ett arbetsföreläggande icke bör ifråga-</w:t>
        <w:br/>
        <w:br/>
        <w:t>Det är möjligt att 72 $ mom. b) i nuvarande formulering täcker, vad som</w:t>
        <w:br/>
        <w:br/>
        <w:t>vid lagens antagande i propositionen avsågs med densamma. Men sedan regeringsrätten 1 sitt utslag den 27 augusti 1929 underkänt barnavårdsnämndens besvär i målet, kan jag icke fatta detta utslag på annat sätt, än att i lagstiftningens labyrinter mindre initierade barnavårdsnämnder och andra måste betrakta detta regeringsrättens utslag som prejudicerande och i anledning därav stanna i rådvillhet om när bestämmelserna i 72 $ mom. b) i själva verket skola få utnyttjas. I propositionen uttalas, att i ytterst sällsynta undantagsfall torde svårigheter kunna uppstå för avgörande, huruvida försummelsen föranleder sådan försämring av barnets villkor, att samhällets inskridande är påkallat. Men då enligt mitt förmenande ett så pass klart och tydligt fall som det i min motion berörda bedömts på sätt, som skett, torde dessa »ytterst sällsynta undantagsfall» bli ganska många, och det är därför jag velat påkalla riksdagens uppmärksamhet.</w:t>
        <w:br/>
        <w:br/>
        <w:t>Utskottet erinrar om att lagen anvisar andra utvägar för ernående av betalning från den försumlige, nämligen införsel i lön och utmätning. Jag trodde nästan, det skulle vara obehövligt att erinra om, att först sedan dessa utvägar prövats och befunnits icke kunna förmå den försumlige att försöka fullgöra sina plikter mot sitt barn, kan det bli tal om arbetsföreläggande. Att det är ett tvångsmedel, skall inte bestridas, men ett tvångsmedel, som enligt min och mångas mening bör användas i sådana fall som det av mig åberopade, där knappast någon skillnad i inkomstförhållanden mellan de unga kontrahenterna eller i deras föräldrars förmögenhetsförhållanden förefinnes men där barnafadern trilskas och gör allt för att slingra sig undan sina förpliktelser mot sitt barn. Så är också i stort sett den reflekterande ortsbefolkningens rättsuppfattning.</w:t>
        <w:br/>
        <w:br/>
        <w:t>Jag är övertygad om att, fastän frågan faller i dag, så är den icke ur världen för det. Den kommer säkerligen att tagas upp och ingående dryftas av barnavårdsnämnder och andra organisationer ute i landet, som praktiskt ha att syssla med frågor av detta slag, och därför tror jag, att fastän frågan faller i dag, den faller framåt.</w:t>
        <w:br/>
        <w:br/>
        <w:t>Herr talman, jag har intet yrkande.</w:t>
      </w:r>
    </w:p>
    <w:p>
      <w:pPr>
        <w:pStyle w:val="Heading2"/>
      </w:pPr>
      <w:r>
        <w:t>11. Anders Paulsen (Socialdemokraterna, man)</w:t>
      </w:r>
    </w:p>
    <w:p>
      <w:r>
        <w:rPr>
          <w:b w:val="0"/>
        </w:rPr>
        <w:t>Herr talman! För dem som syssla med dessa ting står det klart, att motionären syftar till avskaffande av ett missförhållande, som är ganska vanligt. Är det nu så, att modern behöver hjälp till barnets fostran och vård, så är saken klar. Då kan ju barnavårdsnämnden tvinga den tredskande fadern till arbete. Men om modern är arbetsam och duktig och själv eller genom föräldrars hjälp kan ge barnet den fostran och vård, det behöver, så kan fadern gå fullständigt fri.</w:t>
        <w:br/>
        <w:br/>
        <w:t>Nu brukar man ju i barnavårdsnämnden, där man har intresse av att rättvisa skipas mellan föräldrarna, gå till väga på det sättet, att modern bevil- Jas en smula hjälp till barnets fostran och vård, utan att detta egentligen behövs. Detta gör man därför, att med ett sådant beslut under motivering, att modern ej kan försörja barnet, blir det möjlighet att tvinga fadern att fullgöra sin skyldighet. Nog måste man väl ändå medge, att det är en brist i lagen, då barnavårdsnämnd för att komma åt den försumlige försör- Jaren måste tillgripa sådana medel som att tilldela understöd, där det i själva verket inte behövs. Vore det inte riktigt att ändra lagen, så att den fyllde sitt ändamål?</w:t>
        <w:br/>
        <w:br/>
        <w:t>Det kan också hända, att även med ett sådant beslut, som jag nyss nämnde, man ändå inte kan tvinga den försumlige försörjaren till arbete, om han inte godvilligt vill inställa sig härtill, ty vill han inte godvilligt inställa sig till "honom anvisat arbete, så måste barnavårdsnämnd begära handräckning hos polismyndighet, och om denna vägrar, hos länsstyrelsen. Då har det hänt,</w:t>
        <w:br/>
        <w:br/>
        <w:t>att länsstyrelsen anser, att understödet ej varit av nöden påkallat eller att det inte är lastbarhet, vårdslöshet eller lättja och liknöjdhet, som är skulden till försumligheten, och så vägras handräckningen, och den av föräldrarna, vanligen modern, som är arbetsam och plikttrogen, får ensam draga försorg om barnet. För min del anser jag, att detta inte är riktigt och att detta icke varit meningen, då lagen skrevs. Skall rättvisa i dessa avseenden nås, så är det en nödvändighet, att en lagändring sker.</w:t>
        <w:br/>
        <w:br/>
        <w:t xml:space="preserve">För övrigt vill jag säga, att rätten för länsstyrelsen att vägra handräckning borde borttagas, ty denna rätt kan leda till fullständigt oefterrättliga förhållanden. Som ett exempel, hur det kan gå, vill jag erinra om ett fall i Malmöhus län. Ett barn, fött utom äktenskap, var utackorderat i fosterhem. Barnets </w:t>
      </w:r>
      <w:r>
        <w:rPr>
          <w:b/>
        </w:rPr>
        <w:t>mor²</w:t>
      </w:r>
      <w:r>
        <w:rPr>
          <w:b w:val="0"/>
        </w:rPr>
        <w:t xml:space="preserve"> emigrerade till Amerika. Då </w:t>
      </w:r>
      <w:r>
        <w:rPr>
          <w:b/>
        </w:rPr>
        <w:t>hon²</w:t>
      </w:r>
      <w:r>
        <w:rPr>
          <w:b w:val="0"/>
        </w:rPr>
        <w:t xml:space="preserve"> där kom i så goda omständigheter, att </w:t>
      </w:r>
      <w:r>
        <w:rPr>
          <w:b/>
        </w:rPr>
        <w:t>hon²</w:t>
      </w:r>
      <w:r>
        <w:rPr>
          <w:b w:val="0"/>
        </w:rPr>
        <w:t xml:space="preserve"> själv kunde taga hand om sitt barn, skrev </w:t>
      </w:r>
      <w:r>
        <w:rPr>
          <w:b/>
        </w:rPr>
        <w:t>hon²</w:t>
      </w:r>
      <w:r>
        <w:rPr>
          <w:b w:val="0"/>
        </w:rPr>
        <w:t xml:space="preserve"> till barnavårdsnämnden i den församling, där barnet vistades, och begärde få sitt barn till sig. Fosterföräldrarna vägrade lämna barnet ifrån sig. MHandlingarna gingo till länsstyrelsen. Modern styrkte genom intyg från myndigheterna, där </w:t>
      </w:r>
      <w:r>
        <w:rPr>
          <w:b/>
        </w:rPr>
        <w:t>hon²</w:t>
      </w:r>
      <w:r>
        <w:rPr>
          <w:b w:val="0"/>
        </w:rPr>
        <w:t xml:space="preserve"> var bosatt, att </w:t>
      </w:r>
      <w:r>
        <w:rPr>
          <w:b/>
        </w:rPr>
        <w:t>hennes²</w:t>
      </w:r>
      <w:r>
        <w:rPr>
          <w:b w:val="0"/>
        </w:rPr>
        <w:t xml:space="preserve"> förhållanden voro goda och att </w:t>
      </w:r>
      <w:r>
        <w:rPr>
          <w:b/>
        </w:rPr>
        <w:t>hon²</w:t>
      </w:r>
      <w:r>
        <w:rPr>
          <w:b w:val="0"/>
        </w:rPr>
        <w:t xml:space="preserve"> var i stånd att väl vårda och fostra sitt barn. Länsstyrelsen sade i sitt beslut ifrån, att modern skulle få sitt barn. I besvärshänvisningen sades ifrån, att om fosterföräldrarna fortfarande vägrade lämna barnet ifrån sig, skulle handräckning begäras hos länsstyrelsen. Fosterföräldrarna vägrade alltjämt lämna barnet ifrån sig. Handräckning för utfående av barnet begärdes hos länsstyrelsen, men länsstyrelsen vägrade lämna den begärda handräckningen, trots att den förut sagt ifrån, att modern borde ha barnet. Modern går alltjämt sedan flera år och väntar förgäves på sitt barn. När sådant kan ske, då menar jag, att rätten att vägra handräckning borde vara länsstyrelsen fråntagen.</w:t>
        <w:br/>
        <w:br/>
        <w:t>Utskottet hänvisar till att det finns andra vägar att gå än att ålägga den försumlige försörjaren arbete. Sålunda pekar utskottet på införsel i lön och utmätning. Ja, det är riktigt, att dessa vägar finnas. Men om det är en hemmason, som arbetar hos sin far, som det påstås utan lön, hur vill utskottet då gå tillväga för att få uppfostringsbidrag av denne eller göra utmätning hos honom? Vad finns där att utmäta? Jag bara frågar. Nej, sådana människor gå fullständigt fria med nuvarande lagstiftning, varför jag för min del anser en lagändring nödvändig, om rättvisa skall kunna ernås.</w:t>
        <w:br/>
        <w:br/>
        <w:t>Herr talman! Jag tillåter mig att yrka bifall till motionen.</w:t>
      </w:r>
    </w:p>
    <w:p>
      <w:pPr>
        <w:pStyle w:val="Heading2"/>
      </w:pPr>
      <w:r>
        <w:t>12. Gustav Hallagård (Bondeförbundet, man)</w:t>
      </w:r>
    </w:p>
    <w:p>
      <w:r>
        <w:rPr>
          <w:b w:val="0"/>
        </w:rPr>
        <w:t>Herr talman! Jag vill här särskilt framhålla, vad utskottet sagt, nämligen att »ehuru utskottet anser, att det syfte, som motionären velat främja genom den föreslagna lagändringen, är behjärtansvärt, kan utskottet likväl icke förorda densamma.</w:t>
        <w:br/>
        <w:br/>
        <w:t xml:space="preserve">Arbetsföreläggande är ett tvångsmedel, som staten hittills använt för att framtvinga försörjningsskyldighetens fullgörande av barnets fader resp. </w:t>
      </w:r>
      <w:r>
        <w:rPr>
          <w:b/>
        </w:rPr>
        <w:t>moder²</w:t>
      </w:r>
      <w:r>
        <w:rPr>
          <w:b w:val="0"/>
        </w:rPr>
        <w:t xml:space="preserve"> i sådana fall, då eljest försämring i barnets uppehälle eller uppfostran skulle inträffa. Uppenbart bör detta tvångsmedel icke tillgripas, därest barnet kan utan märkbar försämring i dess uppehälle och uppfostran underhållas av den icke försumlige partens tillgångar. I annat fall skulle arbetsföreläggandet i själva verket innebära en tvångsåtgärd för att förhjälpa den betalande parten att erhålla ersättning för utgift, som, föranletts därav att den andra parten icke fullgjort honom lagligen ålagd betalningsskyldighet. Att beröva en person friheten av sådan anledning torde icke stå i överensstämmelse med nutida rättsuppfattning. För övrigt må erinras, att lagen anvisar andra utvägar för ernående av betalning från den försumlige, nämligen införsel i lön och utmätning.»</w:t>
        <w:br/>
        <w:br/>
        <w:t>Så säger vidare statens inspektör för fattigvård och barnavård i det utlåtande, som är bifogat utskottets förslag.</w:t>
        <w:br/>
        <w:br/>
        <w:t>»Även om motionens syfte kan anses behjärtansvärt, lära emellertid betänkligheter kunna resas mot att nu upptaga frågan till närmare omprövning. Lagen om samhällets barnavård har ju varit gällande endast ett fåtal år. Härunder synes man hava haft övervägande gynnsamma erfarenheter vid dess tillämpning. När det gäller ett så pass kännbart ingrepp i den enskildes frihet som det, varom här är fråga, lärer man böra avvakta ytterligare en längre tids lärdomar, innan man går in för en utsträckning av arbetstvångets användning till andra fall än dem, som ursprungligen avsetts.»</w:t>
        <w:br/>
        <w:br/>
        <w:t>Det är på sådana grunder, som vi icke velat vara med om att tillstyrka room Jag ber sålunda för egen del att få tillstyrka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1867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