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629</w:t>
      </w:r>
    </w:p>
    <w:p>
      <w:r>
        <w:rPr>
          <w:b/>
        </w:rPr>
        <w:t xml:space="preserve">Datum: </w:t>
      </w:r>
      <w:r>
        <w:t>1930-05-09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(Högerns riksdagsgrupp, man)</w:t>
      </w:r>
    </w:p>
    <w:p>
      <w:r>
        <w:rPr>
          <w:b w:val="0"/>
        </w:rPr>
        <w:t>Herr talman! Med anledning av herr Hellbergs till mig ställda interpellation ber jag att få avgiva följande svar.</w:t>
        <w:br/>
        <w:br/>
        <w:t>Den katolska kyrkorättens nu gällande regler i det i interpellationen avsedda ämnet återfinnas i den nya kodifikation, som under titeln Codex iuris canonici den 27 maj 1917 antogs att träda i kraft pingstdagen den 19 maj 15 De viktigaste. hithörande canones hava i svensk översättning följande lydelse:</w:t>
        <w:br/>
        <w:br/>
        <w:t>Can. 1060. Kyrkan förbjuder överallt på det strängaste, att äktenskap ingås mellan två döpta personer, av vilka den ena är katolik men den andra tillhör ett kätterskt eller schismatiskt samfund, men om fara är förhanden att den katolske kontrahenten och avkomlingarna avfalla, så förbjudes ett sådant äktenskap även av gudomlig lag.</w:t>
        <w:br/>
        <w:br/>
        <w:t>1. att rättmätiga och vägande skäl påkalla det;</w:t>
        <w:br/>
        <w:br/>
        <w:t>92 att den icke-katolske kontrahenten utfäster sig att avvända faran för av-</w:t>
        <w:br/>
        <w:br/>
        <w:t>fall från den katolska kontrahentens sida och båda makarna förbinda sig att katolskt låta döpa och uppfostra sina avkomlingar;</w:t>
        <w:br/>
        <w:br/>
        <w:t>3. att moralisk visshet förefinnes, att dessa försäkringar komma att uppfyllas.</w:t>
        <w:br/>
        <w:br/>
        <w:t>I fortsättningen av denna canon medgives rätt att anlita civil vigselförrättare, då den borgerliga lagen fordrar det.</w:t>
        <w:br/>
        <w:br/>
        <w:t>Enligt canon 1064 åligger det själasörjaren att avskräcka från blandade äktenskap men också att, om detta ej lyckas, noga tillse, att vid sådant äktenskaps ingående Guds och kyrkans lagar iakttagas samt att med all flit vaka över att därvid givna löften troget uppfyllas.</w:t>
        <w:br/>
        <w:br/>
        <w:t>Av canon 1094 och följande framgår, att så snart endera kontrahenten är katolik, kyrkan anser äktenskapet vara ogiltigt, om dess former ej iakttagits.</w:t>
        <w:br/>
        <w:br/>
        <w:t>2. som ingå äktenskap med uttryckligt eller tyst avtal att alla eller några avkomlingar skola uppfostras utanför katolska kyrkan;</w:t>
        <w:br/>
        <w:br/>
        <w:t>3. som uppsåtligen företaga sig att lämna sina barn åt icke-katolsk präst att döpas;</w:t>
        <w:br/>
        <w:br/>
        <w:t>4. Föräldrar eller de, som äro i föräldrars ställe, vilka uppsåtligen lämna barnen att uppfostras eller undervisas i en icke-katolsk religion.</w:t>
        <w:br/>
        <w:br/>
        <w:t>Genom vad nu anförts ur den gällande katolska kyrkorätten torde interpellantens uppgifter angående denna rätts ståndpunkt till den av honom berörda frågan vara tillfullo bestyrkta.</w:t>
        <w:br/>
        <w:br/>
        <w:t>Det är att märka, att denna ståndpunkt innefattar en skärpning i jämförelse med den. som katolska kyrkan tidigare intagit. En kort historisk översikt av den kanoniska rättens ställning till de blandade äktenskapen torde här vara på sin plats såsom i flera hänseenden belysande för den nuvarande situationen.</w:t>
        <w:br/>
        <w:br/>
        <w:t>De kyrkorättsliga reglerna om äktenskaps ingående fingo sin närmare utformning år 1563 genom det dekret av tridentinska mötet, som efter sitt begynnelseord plägar kallas Tametsi. Detta dekret riktar sig mot hemliga äktenskap, slutna genom kontrahenternas blotta samtycke med därpå följande äktenskapligt samliv, och påbjuder prästerlig medverkan vid äktenskaps ingående. Tametsi nämner överhuvud ingenting om kontrahenternas konfession. Frågan huruvida den här föreskrivna formen erfordras även för giltigheten av äktenskap mellan katolik och medlem av annat kristet trossamfund har av Rota romana, den påvliga domstolen, genom dom den 5 december 1696 för visst fall besvarats nekande. Olikhet i religion förklarades icke utgöra äktenskapshinder, blott båda kontrahenterna vore kristna, och då fråga vore om trakter, där katoliker levde samman med kättare, finge kyrkan godtaga den sedvanerätt, som där utvecklat sig, och tillerkänna laga verkan åt slutna äktenskapsavtal liksom åt andra borgerliga kontrakt. Samma ämne upptogs år 1741 till behandling i ett dekret av påven Benedikt XIV. Denna gång gällde det att för</w:t>
        <w:br/>
        <w:br/>
        <w:t>Hollands och Belgiens vidkommande lösa frågorna om det tridentinska beslutets tillämplighet på äktenskap mellan kättare inbördes eller mellan katolik och kättare. Kättares inbördes äktenskap ansågos äga och även vid endera eller båda makarnas övergång till katolicismen behålla sin giltighet, även om den genom nämnda beslut påbjudna formen ej iakttagits. Vad åter angick äktenskap mellan katoliker och kättare, upprepades visserligen den skarpa förkastelsedom, som kyrkan tidigare fällt över sådana förbindelser, vilka prästerna uppmanades att på allt sätt söka förebygga, men om sådant äktenskap icke dess mindre kommit eller komme till stånd, skulle det gälla, oberoende av huruvida den tridentinska formen iakttagits. Den katolska maken ålades emellertid penitens och uppmanades att söka omvända sin make till den rätta tron. Undantag från det tridentinska beslutet har sedermera under 1700- och 1800- talen beträffande blandade äktenskap medgivits för stora delar av Tyskland. För övrigt är att märka, att det tridentinska beslutet ansågs gälla allenacst där det blivit publicerat på landets språk eller kommit till regelmässig användning.</w:t>
        <w:br/>
        <w:br/>
        <w:t>I detta sammanhang bör även framhållas, hurusom katolska kyrkans principiella ståndpunkt sedan gammalt varit den, att vid stiftande av äktenskap mellan katoliker och icke-katoliker prästen skall begränsa sig till att tillse, att ett enligt kanonisk rätt giltigt äktenskap kommer till stånd genom kontrahenternas i behörig ordning lämnade samtycke (assistentia passiva), men att han skall avhålla sig från att tillämpa kyrkans ceremoniel och meddela dess välsignelse. Från sistnämnda regel har dock dispens givits och kan även enligt den nya corpus iuris erhållas.</w:t>
        <w:br/>
        <w:br/>
        <w:t xml:space="preserve">Kyrkans medverkan till sådana s. k. blandade äktenskap stod dock icke ens i nämnda begränsade form utan vidare öppen. Beträffande villkoren för sin medverkan anpassade sig kyrkan emellertid i betydande utsträckning efter tidsoch ortsförhållandena. I sådana land, där kyrkans ställning av ålder var stark, krävde </w:t>
      </w:r>
      <w:r>
        <w:rPr>
          <w:b/>
        </w:rPr>
        <w:t>hon²</w:t>
      </w:r>
      <w:r>
        <w:rPr>
          <w:b w:val="0"/>
        </w:rPr>
        <w:t xml:space="preserve"> till varje blandat äktenskap påvlig dispens, som kunde medgivas allenast under förutsättning att allmänt väl krävde det och att den ickekatolska kontrahenten avsvor sitt kätteri. Där åter protestantismen slagit fasta rötter, såg sig påvemakten tvungen att uttryckligen eller tyst göra mer eller mindre vittgående eftergifter. Kravet på kätteriets avsvärjande kunde här ej upprätthållas och dispensrätten överläts åt biskoparna. Bland de villkor, som kyrkan strävade att upprätthålla, var kravet på barnens uppfostran i katolsk tro. Men även här förekommo icke blott tysta utan också uttryckliga eftergifter.</w:t>
        <w:br/>
        <w:br/>
        <w:t>Den föregående översikten visar, att den katolska kyrkan ända fram till senaste tid erkänt giltigheten av blandade äktenskap, som ej blivit ingångna i kyrkans ordning och beträffande vilka kyrkan följaktligen ej varit tillförsäkrad möjlighet att upprätthålla sina villkor för befrielse från förbudet mot sådana äktenskap. Av sagda översikt inhämtas även, att kyrkan ej heller kunnat konsekvent upprätthålla det villkor för sin medverkan, som i detta sammanhang är av intresse — villkoret beträffande barnens katolska uppfostran. I båda dessa hänseenden har emellertid numera en skärpning inträtt.</w:t>
        <w:br/>
        <w:br/>
        <w:t>Det år 1907 av Pius X utfärdade dekretet Ne temere, vilket trädde i kraft påskdagen den 19 april 1908, stadgade bland annat, att en romersk katolik endast inför romersk-katolsk präst kunde ingå giltigt äktenskap; anlitade han blott den civila formen eller präst i annat kyrkosamfund, blev hans äktenskap en nullitet, det äktenskapliga samlivet betraktades såsom en svår synd, som ådrog honom exkommunikation, och barnen räknades såsom illegitima. Denna regel gällde även de blandade äktenskapen, och prästen var här förbjuden att viga med mindre skriftlig förbindelse avgivits angående, bland annat, alla</w:t>
        <w:br/>
        <w:br/>
        <w:t>"barnens katolska uppfostran. Härmed var cirkeln sluten: inga blandade äk-</w:t>
        <w:br/>
        <w:br/>
        <w:t>tenskap utan medverkan av katolsk präst och ingen sådan medverkan utan garantier för att alla barnen blevo katoliker. Detta dekret synes emellertid kuappast hava varit avsett att med stränghet upprätthållas. Redan 1908 medgav påven lättnader för Tyskland och sedermera även för Ungern med flera länder.</w:t>
        <w:br/>
        <w:br/>
        <w:t>Av den inledningsvis lämnade redogörelsen för hithörande regler i den sedan 1918 gällande nya corpus iuris framgår, att denna i huvudsak intager samma ståndpunkt som Ne temere. Och åtskilliga tecken tyda på att det denna gång är meningen att strängt upprätthålla reglerna. I en år 1923 av Tysklands ärkebiskopar och biskopar utfärdad instruktion för prästerna uppmanas dessa att på taktfullt sätt »kyrkligt rekonciliera de i icke-katolsk ordning slutna blandade äktenskapen, vilka sedan pingsten 1918 sakna kyrklig giltighet». Under de tolv år, som förflutit, sedan det nya lagverket trädde i kraft, hava, såvitt jag kunnat utröna, inga lättnader medgivits vare sig för vissa landsdelar eller för enskilda fall. Hela denna fråga har därmed kommit i ett nytt läge, som synes göra det nödvändigt att taga under övervägande, huruvida icke den svenska lagstiftningen på hithörande område bör undergå vissa ändringar.</w:t>
        <w:br/>
        <w:br/>
        <w:t>Giftermålsbalkens regler om äktenskaps ingående vila på valfrihetens princip. För de normala fallen, då båda kontrahenterna tillhöra svenska kyrkan, står valet mellan vigsel inom svenska kyrkan och borgerlig vigsel. Tillhöra båda ett trossamfund, vars prästerskap erhållit Konungens tillstånd att förrätta vigsel, äga de trolovade välja mellan vigsel inom detta samfund och borgerlig vigsel. Om endera tillhör främmande kristet trossamfund med vigselrätt och den andra tillhör annat sådant samfund eller ock svenska kyrkan, skall det enligt giftermålsbalken stå dem fritt att låta sig vigas inom ettdera samfundet eller att anlita den borgerliga formen. Enligt Kungl. Maj:ts resolution den 25 januari 1895 äger den romersk-katolska kyrkans prästerskap att »under lagligen gällande villkor och bestämmelser vigsel med laga verkan förrätta». Denna resolution förblev i gällande kraft, då valfrihetens princip infördes genom 1908 års lag om äktenskaps ingående och därifrån upptogs först i 1915 års lag om äktenskaps ingående och upplösning och slutligen i nya giftermålsbalken. Huru det tidigare i verkligheten ställt sig med kontrahenternas valfrihet, då endera av dem tillhört romersk-katolska kyrkan, må lämnas därhän; uppenbart är, att med den ståndpunkt katolska kyrkan intager sedan 1918, valfriheten i sådana fall oftast är illusorisk. Den katolska kontrahenten är vid äventyr av exkommunikation förbjuden att anlita annan vigselform än den katolska, och då något motsvarande hot ej vilar över hans medkontrahent, ser denne senare sig oftast tvungen att falla undan. Det blir med andra ord icke kontrahenternas fria val utan den katolska kyrkorätten, som bestämmer valet av vigselform. En konflikt föreligger mellan svensk lag och kanonisk rätt, och i tillämpningen blir det den senare, som fäller utslaget. Det är uppenbarligen ej tillbörligt, att svenska rättsgrundsatser på detta sätt bringas ur funktion och få stå tillbaka för ett främmande trossamfunds normer.</w:t>
        <w:br/>
        <w:br/>
        <w:t>Redan det nu sagda synes mig påkalla en undersökning, huruvida den romersk-katolska kyrkan fortfarande bör få tillgodonjuta rätten att med laga verkan förrätta vigsel, då endera kontrahenten tillhör annat samfund. Men även andra skäl tala för önskvärdheten av en dylik undersökning. Då svensk lag medger vigsels förrättande inom främmande trossamfund, är syftet att låta äktenskapet bringas till stånd i en av kontrahenterna eftersträvad högtidlig kyrklig form. Om endera kontrahenten icke är katolik, är det emellertid den katolske prästen förbjudet att använda de kyrkliga ceremonierna och akten får icke förrättas 1 kyrkan. Akten skall sålunda principiellt icke hava karaktä-</w:t>
        <w:br/>
        <w:br/>
        <w:t>ren av högtidlig kyrklig akt, och prästens medverkan begränsar sig till vad med den kanoniska terminologien plägar betecknas såsom assistentia passiva. Tvärt emot den svenska lagens mening etableras sålunda här ett slags vigsel av lägre valör. Biskopen kan visserligen medgiva tillämpning av kyrkans ritus, men ej i full utsträckning, i det att mässa ej får förekomma. Dessa regler angående vigselformen äro tydligen påverkade av bestraffningssynpunkter och jag finner häruti ytterligare ett skäl emot deras officiella erkännande från svensk sida. Större vikt tillmäter jag emellertid ett annat argument, och därmed är jag inne på den ärade interpellantens tankegång.</w:t>
        <w:br/>
        <w:br/>
        <w:t>Då 1873 års dissenterlag medgiver makarna att 1 viss ordning träffa avtal om barnens uppfostran i evangelisk-lutherska läran eller i främmande troslära, som en av dem bekänner, är, på sätt interpellanten framhållit, lagens mening uppenbarligen, att frågan om avtalets innehåll skall vara makarnas ensak, att de skola äga ordna denna angelägenhet efter sin fria vilja. Genom att låta det katolska prästerskapet behålla rätten att viga katolik vid ickekatolik, även sedan uppmärksamheten blivit fästad vid de kanoniska reglernas nuvarande innebörd, kommer lagstiftaren emellertid även på denna punkt i strid med sig själv. Enligt dessa regler kan vigselrätten överhuvud ej tagas i bruk, utan att bindande avtal träffats, att alla barn i äktenskapet skola göras till katoliker. Den katolska prästen äger icke, även om han själv skulle vilja det, taga hänsyn till den icke-katolska kontrahentens samvetsbetänkligheter och krav på andlig frihet för sig och sina barn; dennes totala underkastelse är priset för prästens medverkan, varförutan återigen den katolska kontrahenten utsätter sig för sin kyrkas bannstråle. Den omständigheten att enligt dissenterlagen avtalet för att bliva gällande måste upprättas före vigseln och uppvisas för vigselförrättaren innebär, sammanställd med den förlänade vigselbehörigheten, ett slags statlig auktorisation av detta för svensk och luthersk anda motbjudande samvetstväng.</w:t>
        <w:br/>
        <w:br/>
        <w:t>Om katolska kyrkans vigselrätt begränsas i så måtto, att nämnda kyrka frånkännes rätt att viga i sådana fall, då allenast ena kontrahenten tillhör kyrkan, lärer följden bliva, att äktenskap mellan katolik och icke-katolik här i landet komma att slutas genom borgerlig vigsel. Om enligt svensk lag den katolska formen icke vidare erkännes, torde det nämligen enligt kanonisk rätt bli medgivet för den katolska kontrahenten att anlita den borgerliga formen. En följd av lagens ändrade ståndpunkt blir också, att avtal om barnens uppfostran för att bliva bindande måste före vigseln uppvisas för den borgerliga vigselförrättaren.</w:t>
        <w:br/>
        <w:br/>
        <w:t>Frånsett den principiella betydelsen därav, att den svenska lagstiftningen icke vidare kan sägas auktorisera ett sådant tvång, varom här är fråga, torde på den nu anvisade vägen även från praktisk synpunkt åtskilligt vara vunnet. Det ligger visserligen i sakens natur, att de samvetskonflikter, varom här är fråga, aldrig kunna fullständigt hävas genom lagstiftningsåtgärder. All sannolikhet talar också för att det katolska prästerskapet även i fortsättningen kommer att söka hävda sin kyrkas grundsatser. Särskilt är härvid att märka, hurusom den kanoniska rättens krav på vigsel inför katolsk präst icke bortfaller, därför att kontrahenterna med kyrkans begivande anlitat den borgerliga formen i syfte att tillförsäkra sig den borgerliga lagens erkännande av förbindelsen. Greppet om kontrahenternas vilja blir dock mindre fast än förut.</w:t>
        <w:br/>
        <w:br/>
        <w:t>Det är emellertid möjligt, att en närmare undersökning av saken kommer att utvisa, att det avsedda syftet icke kan vinnas på den nu angivna vägen. Man lärer då bli nödsakad upptaga till prövning frågan om den romerskkatolska kyrkans vigselbehörighet överhuvud taget och villkoren för densamma.</w:t>
        <w:br/>
        <w:br/>
        <w:t>Att fatta bestämd position i den ytterst svåra frågan om lämpligaste vägen att vinna rättelse i det av interpellanten påtalade missförhållandet är givetvis ej möjligt utan en närmare utredning i ämnet. TI religionsfrihetssakkunnigas betänkande angående vidgad rätt till utträde ur svenska kyrkan och särskilt i det däri framlagda förslaget till ändring av dissenterlagens regler om barnens ställning i konfessionellt hänseende har frågan upptagits till övervägande. Möjligen bör emellertid densamma göras till föremål för en självständig utredning, då dess sammankopplande med en rad andra frågor är ägnad att fördröja dess lösning.</w:t>
        <w:br/>
        <w:br/>
        <w:t>Jag vill i detta sammanhang erinra om att, såsom framgår av nyssnämnda betänkande, spörsmålet om undanröjande i möjligaste mån av det i interpellationen berörda missförhållandet redan på 1890-talet upprepade gånger varit föremål för överväganden i riksdagen utan att man kunnat komma till enighet om lämpligaste vägen för målets uppnående.</w:t>
        <w:br/>
        <w:br/>
        <w:t>Av vad nu anförts torde framgå, att jag utan tvekan anser mig kunna jakande besvara interpellantens första fråga, men att jag däremot icke ser mig i stånd att nu, närmare än som skett, angiva vilka åtgärder, som lämpligen böra vidtagas för vinnande av det avsedda syftet.</w:t>
      </w:r>
    </w:p>
    <w:p>
      <w:pPr>
        <w:pStyle w:val="Heading2"/>
      </w:pPr>
      <w:r>
        <w:t>2. Mauritz Hellberg (Liberala riksdagspartiet, man)</w:t>
      </w:r>
    </w:p>
    <w:p>
      <w:r>
        <w:rPr>
          <w:b w:val="0"/>
        </w:rPr>
        <w:t>Herr talman! För det mycket utförliga och klargörande svar, som herr statsrådet nu har haft vänligheten att giva på mina frågor, anhåller jag att till honom få framföra mitt vördsamma och förbindligaste tack. Jag tror, att detta svar skall komma att utöva en hälsosam verkan.</w:t>
        <w:br/>
        <w:br/>
        <w:t>Den fråga, som det här gäller, intresserar ju inte något större antal i vårt land. Den intresserade sålunda inte heller mig själv, förrän jag under min tidningsmannaverksamhet händelsevis kom att stöta mot den i ett konkret fall. Jag fick därvid en mycket stark förnimmelse av något, som inte hörde varken vår tid eller vårt land till, något föråldrat, medeltidsmässigt eller i varje fall något icke-svenskt, något utländskt. Det stämde dock med den uppfattning jag förut haft av katolicismen som något av den moderna kulturen för länge sedan övervunnet, en primitiv övertro, som i grunden står främmande för det centrala i kristendomen. Men jag tvangs att inse, att denna övertro inom en viss, låt vara liten, sfär även hos oss är ett full aktuell och att den i sina verkningar våldför sig på den samvetsfrihet, som vi i vårt land lyckats förverkliga så långt, att den väl kan sägas utgöra vår andliga livsluft.</w:t>
        <w:br/>
        <w:br/>
        <w:t>Denna samvetsfrihet är ofattlig för en troende katolik. En sådan är med en för oss åter ofattlig sannskyldig kadaverlydnad — jag begagnar detta bekanta uttryck — underkastad sin kyrka, vilken för honom är en ofelbar uppenbarelse av Guds vilja. Kyrkan är hans samvete — något eget har han inte eller, om han har det, tillmäter han det i varje fall ingen betydelse. Som en väl drillad kyrkans soldat utför han utan att blinka varje dess order till punkt och pricka.</w:t>
        <w:br/>
        <w:br/>
        <w:t xml:space="preserve">I fråga om barnen i blandade äktenskap fordrar den katolska kyrkan, som i svaret utförligt framhållits, att en katoliks barn skola bli katoliker, Roms andliga undersåtar. Naturligtvis kan det tänkas, att en enskild katolik, särskilt om han eller </w:t>
      </w:r>
      <w:r>
        <w:rPr>
          <w:b/>
        </w:rPr>
        <w:t>hon²</w:t>
      </w:r>
      <w:r>
        <w:rPr>
          <w:b w:val="0"/>
        </w:rPr>
        <w:t xml:space="preserve"> är förblindad av kärlek, glömmer att hävda denna fordran. Men den katolska kyrkan har präster, som inte glömma det, och till yttermera visso äro de, såsom i svaret visats, genom den kanoniska lagen ålagda att vaka över att kontrahenterna i blandade äktenskap, där den ena är katolik, ingå ett skriftligt avtal om barnens katolska uppfostran. Det är som sagt villkor för katolsk vigsel, och denna vigsel är som bekant den enda för en katolik giltiga.</w:t>
        <w:br/>
        <w:br/>
        <w:t>Då vår dissenterlag tillåtit en sådan förbindelse, har det skett närmast i</w:t>
        <w:br/>
        <w:br/>
        <w:t>syfte att ställa bekännare av annan lära fria gentemot statskyrkan. Det är sålunda en bestämmelse till skydd för trosoch samvetsfriheten. Men denna bestämmelse utnyttjas av katolicismen påpassligt som ett medel till samvetstvång. Den protestantiska kontrahenten i ett äktenskap med en katolik skall tvingas att uppgiva sin rätt över sina barns uppfostran för den katolska kyrkans anspråk på herravälde över dem. Så förvandlas ett stadgande, som avser att hävda vår religiösa tolerans, till ett verktyg för den katolska intoleransen. Denna utnyttjar bokstaven i vår dissenterlag till att döda dess anda. Och för att utföra detta dåd drar den sig inte för att tränga in på ett område, som borde vara fridlyst för främmande inblandning, det intima förhållandet i familjen mellan makar inbördes och mellan dem och deras barn.</w:t>
        <w:br/>
        <w:br/>
        <w:t>Hur långt den katolska kyrkan och dess officiella tjänares hänsynslöshet på detta område kan gå, när de känna sig säkra och inte hämmas av andra hänsyn, belyses av ett fall ur verkligheten, som en person med utsatt namn för någon tid sedan berättat i en av huvudstadens tidningar. Han anförde bland annat föl- Jande:</w:t>
        <w:br/>
        <w:br/>
        <w:t xml:space="preserve">Vid ett besök i den amerikanska västern för några år sedan träffade jag en landsman, som var gift med en katolsk </w:t>
      </w:r>
      <w:r>
        <w:rPr>
          <w:b/>
        </w:rPr>
        <w:t>kvinna¹</w:t>
      </w:r>
      <w:r>
        <w:rPr>
          <w:b w:val="0"/>
        </w:rPr>
        <w:t xml:space="preserve"> av sydtysk extraktion. Det äktenskapet hade haft alla möjligheter att bli lyckligt, enligt vad mannen försäkrade, men det hade i stället blivit motsatsen till följd av den katolske själasörjarens inflytande för att icke säga oförskämda närgångenhet. Den äkta mannen berättade, att hans </w:t>
      </w:r>
      <w:r>
        <w:rPr>
          <w:b/>
        </w:rPr>
        <w:t>hustru²</w:t>
      </w:r>
      <w:r>
        <w:rPr>
          <w:b w:val="0"/>
        </w:rPr>
        <w:t xml:space="preserve"> besökte prästen mer än en gång 1 veckan, och att prästen återgäldade besöken lika ofta. Vid dylika tillfällen spelade mannen ingen roll. </w:t>
      </w:r>
      <w:r>
        <w:rPr>
          <w:b/>
        </w:rPr>
        <w:t>Hustrun²</w:t>
      </w:r>
      <w:r>
        <w:rPr>
          <w:b w:val="0"/>
        </w:rPr>
        <w:t xml:space="preserve"> och prästen sutto och talade om barnens uppfostran, som om mannen i huset icke funnits till. Det enda de kunde nedlåta sig att fråga honom var, om han frivilligt samtyckte till att kosta på barnen den och den uppfostran i det och det katolska prästseminariet. Han existerade aldrig för sin </w:t>
      </w:r>
      <w:r>
        <w:rPr>
          <w:b/>
        </w:rPr>
        <w:t>hustru²</w:t>
      </w:r>
      <w:r>
        <w:rPr>
          <w:b w:val="0"/>
        </w:rPr>
        <w:t xml:space="preserve">, när prästen var närvarande. »Jag har aldrig varit särskilt kyrkligt intresserad», slutade min landsman, »men det kan icke hjälpas, att jag nu blivit det i ren oppositionslystnad mot de jesuitiska och närgångna katolikerna, och min enda fromma önskan i detta sammanhang är, att ni därhemma i Sverige skola vara på er vakt mot alla katolska försök att få inflytande där. Och vad dig själv beträffar, så akta dig för att göra samma dumhet som jag. Gift dig hellre med en kinesisk eller en japansk </w:t>
      </w:r>
      <w:r>
        <w:rPr>
          <w:b/>
        </w:rPr>
        <w:t>kvinna¹</w:t>
      </w:r>
      <w:r>
        <w:rPr>
          <w:b w:val="0"/>
        </w:rPr>
        <w:t>; ja, gift dig hellre med en afrikansk negress än med en katolik — — —»</w:t>
        <w:br/>
        <w:br/>
        <w:t>Så där obesvärat uppträda naturligtvis inte de katolska prästerna här i landet. Men, varför? Månntro, lusten fattas? Det är tillåtet att något betvivla den saken. Förklaringen torde nog snarare vara att söka där, att de inte våga. De ha mycket fin känsla för vad som går an och för vad som inte går an. De och deras kyrka skicka sig smidigt efter förhållandena. Här uppträda de därför mycket försynt och vilja gärna väcka intryck av förföljda oskulder. Klokheten bjuder det. Men där de inte behöva ålägga sig något sådant tvång, bruka de en helt annan ton.</w:t>
        <w:br/>
        <w:br/>
        <w:t>Jag har fått mig tillsänt ett nummer av en katolsk tidning i Sydtyskland, som upptagit och bemött en insändare av ärkebiskop Nathan Söderblom. Detta blad nekar sig just ingenting i fråga om kraftiga uttryck. Sverige beskylles för genomgående intolerans, och ärkebiskop Söderblom behandlas inte just mycket bättre än en simpel lögnare. Jag skall tillåta mig bara att anföra ett par uttryck ur en artikel i denna tidning som svarar på den Söderblomska insändaren, vilken — det behöver inte sägas — är hållen i en alltigenom taktfull och försynt ton. Det säges strax i början på repliken, att till dessa Nathan Söderbloms utläggningar är i allmänhet att säga, att ett nästan otroligt försök att vilseföra offentligheten föreligger (»ein fast unglaublicher Versuch, die Öffentlichkeit irre zu fähren vorliegt»). Det säges strax därefter, att</w:t>
        <w:br/>
        <w:br/>
        <w:t>den svenska kyrkobeskattningens hela utvecklingshistoria beslår Söderbloms tydningsförsök med lögn (»straft Söderbloms Deutungsversuch Lägen»). För att taga ett tredje uttalande heter det beträffande vad Söderblom anför i fråga om tvånget för även katoliker att vid giftermål anmäla sig hos en svensk präst, att detta är en skicklig blandning av sanning och osanning i syfte att vilseleda (»eine geschickte Vermischung von Wahrheit und Unwahrheit zu Zwecke der Irrefuhrung»). — Således beskylles han direkt för att avsiktligt vilja vilseföra allmänheten.</w:t>
        <w:br/>
        <w:br/>
        <w:t>Sådana uttryckssätt skulle inte ens Göteborgs Stifttidning tillåta sig mot ärkebiskopen. Men det kan inte skada att för svensk offentlighet återgiva dessa katolska utfall, som inte äro avsedda att bli kända här. De visa, vars andas barn vi här ha att göra med, och det är nyttigt att känna sina motståndare. Ty genom sin av den romerska kyrkan påbjudna tvångsaktion mot svenska medborgares rättigheter bli de katolska prästerna med nödvändighet våra motståndare.</w:t>
        <w:br/>
        <w:br/>
        <w:t>Mig upprör det, att svenska medborgare för sin trosoch samvetsfrihet inte skola få åtnjuta det skydd, som vår lag avser att tillförsäkra dem, och ett tillstånd, som möjliggör en sådan kränkning av deras rätt, bör inte få fortbestå. Rättelse bör eftersträvas och så vitt möjligt åstadkommas.</w:t>
        <w:br/>
        <w:br/>
        <w:t>Det är mig därför en stor tillfredsställelse att erfara, att herr statsrådet synes dela denna min uppfattning. Jag fäste mig vid det i svaret förekommande uttalandet, att en undersökning i saken synes av förhållandena påkallad. Huruvida den väg till frågans lösning, som herr statsrådet antytt, kan visa sig framkomlig, skall jag naturligtvis inte tillåta mig uttala någon mening om. Det är, som det påvisas i svaret, en ytterst svår sak, som det här gäller. Det förefaller dock, som om den föreslagna lösningen hade rätt stor sannolikhet för sig. För min ringa del har jag ju också haft mina små funderingar, och jag har även konfererat med en framstående rättslärd. Denne hade ett uppslag, som synes mig värt att också komma under omprövning. Han tyckte. att till dissenterlagens $ 6, där det stadgas, att före vigseln skriftligen avfattat och för vigselförrättaren uppvisat avtal om barnens religiösa uppfostran skall vara gällande, borde kunna göras ett tillägg av ungefär följande lydelse: »Sådant avtal skall dock icke gälla, där någondera parten tillhör ett religiöst samfund, som enligt sin ordning för vigselns meddelande uppställer kravet, att barnen skola i dess lära uppfostras.» — Ett dylikt tillägg borde väl också vara ägnat att stänga för tvångstrafiken.</w:t>
        <w:br/>
        <w:br/>
        <w:t>När sålunda nu åtgärder övervägas för att hejda denna trafik, bör, synes det mig, uttryckligt betonas, att det sker i trosoch samvetsfrihetens intresse. Ett samfund som förnekar fördragsamhetens ömsesidighet och utnyttjar en till skydd för denna ömsesidighet stiftad lag som medel att kränka den, kau och får inte tillerkännas den rätt, för vilken just ömsesidigheten utgör en förutsättning. Genom att utestängas från denna rätt hindras det att kränka samvetsfriheten, och en dylik förebyggande åtgärd är då ett verk i denna frihets tjänst.</w:t>
        <w:br/>
        <w:br/>
        <w:t>Såsom jag i min interpellation och herr statsrådet sedan i sitt svar framhållit. är det ovisst, hur mycket som kan nås på lagstiftningens väg. Men ett försök bör göras, och det är, jag upprepar det, glädjande, att statsrådet också funnit, att saken kräver utredning. Jag tillåter mig då också uttala den förhoppningen, att en sådan utredning skall komma till stånd och det så snart som möjligt.</w:t>
        <w:br/>
        <w:br/>
        <w:t>I denna sak är jag förvissad att den svenska folkopinionen är mycket enhällig. Praktiskt taget är saken inte stor, men principiellt är den betydelsefull. Vad det gäller är nämligen, huruvida svenska medborgare skola vara lagligen underkastade den kanoniska lagen. Om de själva frivilligt giva sig under den blir naturligtvis deras ensak. Men det kan fordras, att de inte skola kunna</w:t>
        <w:br/>
        <w:br/>
        <w:t>tvingas att böja sig under dess krav. I Sverige skall råda svensk och inte romersk rätt — därom äro vi väl alla 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