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630</w:t>
      </w:r>
    </w:p>
    <w:p>
      <w:r>
        <w:rPr>
          <w:b/>
        </w:rPr>
        <w:t xml:space="preserve">Datum: </w:t>
      </w:r>
      <w:r>
        <w:t>1930-05-14</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Arvid Thelin (–, man)</w:t>
      </w:r>
    </w:p>
    <w:p>
      <w:r>
        <w:rPr>
          <w:b w:val="0"/>
        </w:rPr>
        <w:t>Herr talman! 1919 års undervisningsplan har stora förtjänster. därom tyckas alla vara ense. Dock skulle jag för min del önska, att undervisningen enligt denna plan lämnade en något mera fast och säker kunskap i ämnet kristendom. Under många år har jag som kristendomslärare haft att undervisa i ett högre läroverks samtliga klasser från realskolans första klass till gymnasiets fjärde ring, och jag har under cirka tio år varit ledamot av en folkskolestyrelse. Som lärare har jag haft att pröva ett stort antal barn från såväl folkskolan som andra skolor, och i folkskolan har jag i likhet med herr Klefbeck varit i tillfälle att åhöra många kristendomslektioner. Jag anser mig därför ha fått en viss erfarenhet även jag beträffande kristendomsundervisning.</w:t>
        <w:br/>
        <w:br/>
        <w:t>Enligt min mening bör den kungl. kungörelsen av den 6 december 1929 hälsas med tacksamhet, ty därigenom att »korta stycken och minnesord» ur Luthers lilla katekes numera kunna få läsas utantill, utgör denna kungörelse ett värdefullt komplement till 1919 års kursplan. Berättelser ur gamla och nya testamentet med kärnfullt religiöst och sedligt innehåll, Jesu bergspredikan och i anslutning därtill en efter barnens mottaglighet och behov lämpad sammanfattning av den kristna trosoch livsåskådningen, bilder ur kyrkans historia och i sjätte klassen läsning av Luthers lilla katekes som ett historiskt uttryck för Luthers uppfattning om kristendomens huvudstycken, allt detta är synnerligen värdefullt, särskilt som det är tillåtet, att minnesord ur bibeln samt psalmverser få läras utantill. Men när man anställer ett förhör med barn, som inhämtat dessa kurser, gör man den iakttagelsen, att deras kunskaper om kristendomens uppkomst, innehåll och utveckling ofta äro ganska vaga. Korta stycken och minnesord ur Luthers lilla katekes komma enligt min mening barnen väl till pass. Självklart är, att det härvid endast bör vara fråga om de tre första huvudstyckena. Fjärde och femte huvudstyckena — sakramentsläran — böra naturligtvis uppskjutas till konfirmandskolan.</w:t>
        <w:br/>
        <w:br/>
        <w:t>Man har tidigare och med rätta klagat över »katekesplugg» i folkskolan. Men dessa klagomål ha egentligen icke gällt Luthers lilla katekes, utan de ha gällt förklaringarna till Luthers lilla katekes, närmast 1878 års katekesutveckling. Och jag förstår väl motviljan mot denna katekesförklaring, även om den nog också har vissa förtjänster. Många folkskollärare, som före 1919 nödgades undervisa efter denna katekesförklaring, ha gjort detta synnerligen förträffligt. Andra, kanske de flesta, ha gjort det motvilligt och därför med dåligt resultat. I seminarierna, där dessa lärare fått sin utbildning, ha de måst lära sig utantill från pärm till pärm denna katekesförklaring med därtill hörande bibelord. Men inte nog därmed. De ha dessutom måst plugga besvärliga och ledsamma luntor, dikterade eller utgivna av respektive kristendomslärare. Detta har naturligtvis gjort ämnet motbjudande och resulterat i en stark ovilja och därav föranledd agitation mot allt vad katekes heter, till och med mot en så förträfflig bok som Luthers lilla katekes. Nu är det emellertid inte fråga om 1878 års katekes. Ingen vill återinföra denna i folkskolan. Det är heller inte fråga om Luthers lilla katekes, fastän mången önskat den återbördad till barndomsskolan. Utan det är fråga om vissa »korta stycken och minnesord» ur Luthers lilla katekes. Jag tror, att detta behöver starkt framhållas, eftersom en stor del folk, som hör och läser om det stora bullret i anledning av kungl. kungörelsen den 6 december 1929, har fått den uppfattningen, att det här gäller att återinföra 1878 års katekes med allt plugg, som denna bok förde med sig. Om människor här i landet finge klart för sig vad frågan här gäller, skulle de antagligen förvåna sig över, att första kammaren kan ha lust att spilla så många ord på denna fråga.</w:t>
        <w:br/>
        <w:br/>
        <w:t xml:space="preserve">I anledning av herr Klefbecks uttalande för en stund sedan vill jag fästa uppmärksamheten på följande förhållande. Det tillägg till buden, som Luther tar upp under frågan: Vad säger nu Gud om alla dessa bud? — det tillägget har i den bibliska texten, 2 Mos. 20 och 5 Mos. 5, sin plats närmast efter bildförbudet, alltså efter första budet, och hänför sig alltså egentligen till detta bud. Tillägget lyder sålunda: »Jag, Herren, din Gud, är en nitälskande Gud, som hemsöker fädernas missgärningar på barn och efterkommande i tredje och fjärde led, när man hatar mig, men som gör nåd med tusenden, när man älskar mig och håller mina bud.» TI sin ursprungliga betydelse äro dessa gammaltestamentliga ord oförenliga med varje kristlig åskådning. Om något straffande å Guds sida kan det nämligen endast bli tal, där skuld föreligger å människans sida. En annan sak är däremot, att följderna av en människas gärningar, såväl de onda som de goda, icke blott få uppbäras av människan själv utan sträcka sig vida omkring, ja, över hela </w:t>
      </w:r>
      <w:r>
        <w:rPr>
          <w:b/>
        </w:rPr>
        <w:t>hennes²</w:t>
      </w:r>
      <w:r>
        <w:rPr>
          <w:b w:val="0"/>
        </w:rPr>
        <w:t xml:space="preserve"> både samtid och eftervärld. Att barnen på olika sätt få lida för föräldrarnas missgärningar, liksom omvänt de välgörande verkningarna av föräldrarnas sedliga vandel förspörjas på barnen, är en gammal iakttagelse. Inte bara sjukliga utan även brottsliga anlag kunna gå i arv från far till son, så ock de sunda och goda. Om det ifrågavarande »tillägget» ursprungligen avsåg att hävda en vedergällningsrätt med straffdomar »allt intill tredje och fjärde led» och belöningar »uppå många tusenden», så kunde en sådan åskådning icke i sin bokstavliga lydelse upprätthållas. Den rönte gensägelse av flera av gamla förbundets män under senare tider. Jesu ställning till hela detta spörsmål framgår av hans uttalande i berättelsen om den blindföddes botande, Joh. 9. Hans lärjungar hade frågat honom: »Rabbi, vilken har syndat, denne eller hans föräldrar, så att han har blivit född blind?» Jesus svarade: »Det är varken denne, som har syndat, eller hans föräldrar, utan så har skett för att Guds gärningar skulle uppenbaras på honom.» Detta Jesu uttalande var riktat mot den på hans tid bland judarna utbredda föreställningen, att varje olycka, som drabbade en människa, var ett Guds straff för någon synd, begången vare sig av </w:t>
      </w:r>
      <w:r>
        <w:rPr>
          <w:b/>
        </w:rPr>
        <w:t>henne²</w:t>
      </w:r>
      <w:r>
        <w:rPr>
          <w:b w:val="0"/>
        </w:rPr>
        <w:t xml:space="preserve"> själv eller </w:t>
      </w:r>
      <w:r>
        <w:rPr>
          <w:b/>
        </w:rPr>
        <w:t>hennes²</w:t>
      </w:r>
      <w:r>
        <w:rPr>
          <w:b w:val="0"/>
        </w:rPr>
        <w:t xml:space="preserve"> föräldrar. I över-</w:t>
        <w:br/>
        <w:br/>
        <w:t>ensstämmelse med den åskådning, som finns i Nya testamentet, tyder Luther Ang. katekes-</w:t>
        <w:br/>
        <w:br/>
        <w:t>det ifrågavarande tillägget till buden. Han ser däri dels en allvarlig varning folkekslan. för synden, emedan Gud icke lämnar synden ostraffad, dels en trösterik lockelse (Forts.</w:t>
        <w:br/>
        <w:br/>
        <w:t>till ly dnad för Guds bud, emedan Gud kröner denna lydnad med välsignelse. Detta är meningen med Luthers förklaring, och hans ord få icke fattas så, som om de innebure ett förordande av, att vi av fruktan för straff skola avhålla oss från synd och av hopp om belöning skola lyda Guds vilja. En sådan uppfattning skulle införa orena bevekelsegrunder i det sedliga livet. Vad vi känna som vår plikt, det skall av oss utföras utan någon hänsyn till vare sig belöning eller straff, detta har Luther både i ord och gärning vittnat.</w:t>
        <w:br/>
        <w:br/>
        <w:t xml:space="preserve">Herr Klefbeck rörde också vid Luthers förklaring till andra huvudstycket. Den första fråga man ställes inför i denna Luthers förklaring till andra artikeln är denna: Vem är Jesus Kristus till sin person? Luther svarar: »Jag tror att Jesus Kristus är sann Gud, född av Fadern i evighet, och tillika sann människa, född av </w:t>
      </w:r>
      <w:r>
        <w:rPr>
          <w:b/>
        </w:rPr>
        <w:t>jungfrun²</w:t>
      </w:r>
      <w:r>
        <w:rPr>
          <w:b w:val="0"/>
        </w:rPr>
        <w:t xml:space="preserve"> Maria.» I alla fyra evangelierna, som enligt 1919 års kursplan få läsas, ha vi en mängd utsagor som belysa detta. För det första ha vi utsagor av Jesu egen mun, ur vilka det tydligt framgår, att han själv gjorde anspråk på att vara Guds son i alldeles särskild mening. Sådana utsagor äro till exempel Matt. 10:32: »Därför, var och en som bekänner mig inför människorna, honom skall ock jag bekänna inför min Fader, som är i himmelen»: Matt. 11:27: »Allt har av min Fader blivit anförtrott åt mig. Och ingen känner Sonen utom Fadern» etc.; Luk. 2:49: »Varför behövden I söka efter mig? Vissten I icke, att jag bör vara där min Fader bor»; Joh. 10:30: »Jag och Fadern äro ett.&gt; Dessa exempel, som enligt undervisningsplanen få läras utantill, kunde mångdubblas. Men fastän Jesus på detta sätt betonar sin enhet och samhörighet med Fadern, så ha vi dock även utsagor av honom, i vilka han tydligt uttalar sin underordnade ställning i förhållande till Fadern. Till exempel Mark. 10:18: »Varför kallar du mig god? Ingen är god utom Gud allena»; Mark. 13: 32: »Men om den dagen och den stunden vet ingen något. icke ens änglarna i himmelen, icke ens Sonen — ingen utom Fadern.» I evangeliets teckning av Jesus möta vi en människa, en personlighet, som levat ett sant och rikt människoliv. Han var en sann och verklig människa. Han kände hunger och törst, blev trött och kände behov av vila, han hade i både inre och yttre avseenden en mänsklig utveckling att genomgå.</w:t>
        <w:br/>
        <w:br/>
        <w:t>Även ur de apostoliska vittnesbörden i Nya testamentet framgår tydligt, att Jesus under sin jordevandring med apostlarna på dessa gjort ett sådant intryck, att de i honom sågo icke blott människan i sin fullkomlighet utan ock Guds enfödde son. Jag vill hänvisa till Rom. 9:5 och Kol. 2:9.</w:t>
        <w:br/>
        <w:br/>
        <w:t xml:space="preserve">Den kristna kyrkan vittnar om Jesus Kristus, att i hans person, som är en, finnas trå naturer, en gudomlig och en mänsklig. Då dessa den gamla kyrkans bestämningar lätt kunna misstydas, så undviker Luther i sin lilla katekes att tala om två naturer hos Jesus. Tvånatursläran finns icke i Luthers lilla katekes. Luther säger i stället: »Jesus Kristus, sann Gud, född av Fadern i evighet, och tillika sann människa, född av </w:t>
      </w:r>
      <w:r>
        <w:rPr>
          <w:b/>
        </w:rPr>
        <w:t>jungfrun²</w:t>
      </w:r>
      <w:r>
        <w:rPr>
          <w:b w:val="0"/>
        </w:rPr>
        <w:t xml:space="preserve"> Maria.» Han uttrycker sig så för att betona, att Jesus Kristus icke var ett dubbelväsen utan en fullt enhetlig person. Det gudomliga och mänskliga hos Jesus hade trätt i ett så nära och innerligt förhållande till vartannat, att hans persons enhet icke försvagades av de två sidorna i hans väsen.</w:t>
        <w:br/>
        <w:br/>
        <w:t xml:space="preserve">Nu undrar jag, om det kan vara så farligt, att barnen, sedan de läst bibliska berättelser om Jesus, få lära sig utantill de orden i Luthers lilla katekes, som utgöra Luthers svar på frågan, vem Jesus Kristus är till sin person: »sann Gud, född av Fadern i evighet, och tillika sann människa, född av </w:t>
      </w:r>
      <w:r>
        <w:rPr>
          <w:b/>
        </w:rPr>
        <w:t>jungfrun²</w:t>
      </w:r>
      <w:r>
        <w:rPr>
          <w:b w:val="0"/>
        </w:rPr>
        <w:t xml:space="preserve"> Maria.» Jag skall inte fortsätta att tala om Luthers förklaring till andra artikeln. Jag vill bara erinra om, att den nästa fråga, som där möter oss, är</w:t>
        <w:br/>
        <w:br/>
        <w:t>denna: Vilken betydelse hade Jesus Kristus för oss människor? Vad är syftet med hans liv på jorden? Luther svarar på detta: »Jesus Kristus är min herre», och han gör detta ord »min herre» till huvudord i den andra artikeln.</w:t>
        <w:br/>
        <w:br/>
        <w:t>I Luthers lilla katekes finns inte läran om övernaturlig avlelse, ej heller den så kallade tvånatursläran, ej heller någon försoningslära, »som skiljer isär olika människor». Nej, Luther undviker sorgfälligt alla uttryck, som kunna vålla svårigheter och oklarhet och föra in i teologisk diskussion. Detta är det verkliga förhållandet, vilket var och en skall finna, som läser Luthers lilla katekes. I Luthers lilla katekes förekommer icke ordet »rättfärdiggörelse», detta besvärliga ord. Saken finns omtalad både i artiklarna och Herrens bön. Men Luther använder ordet »förlåtelse» i stället för »rättfärdiggörelse». Han undviker allt vad teologiska och dogmatiska konsttermer heter, detta vågar jag påstå. Förgäves söka vi ordet »treenighet» i lilla katekesen. Och beträffande särskilt andra artikeln har Luther resolut utelämnat teologiens mångfaldiga synpunkter och schemata.</w:t>
        <w:br/>
        <w:br/>
        <w:t>Jag skall tillåta mig citera vad den tyska historieskrivningens storman, Leopold von Ranke, yttrar om katekesen: »Den katekes som Luther utgav år 1529, om vilken han säger, att han beder den själv, ehuru han är gammal doktor, är lika barnslig som djupsinnig, lika lättfattlig som outgrundlig, enkel och upphöjd. Lycklig den som därmed när sin själ och som fasthåller därvid. Han besitter i varje stund en oförgätlig tröst. Endast bakom ett lätt hölje har han en sanningens kärna, som är tillräcklig för den visaste bland de visa.»</w:t>
        <w:br/>
        <w:br/>
        <w:t>Det är ur denna bok, som kungl. kungörelsen den 6 december 1929 under vissa förhållanden tillåter att det i folkskolan får läsas »korta stycken och minnesord». Och det är om denna kungörelse, som herr Rydén i sin motion säger, att den »är 1 sällsport hög grad ägnad att åstadkomma förvirring och giva anledning till tvister och strider på ett ytterst ömtåligt område». Jag frågar: Vem är det som åstadkommer förvirringen och väcker tvisterna? Det är ingen, som på allvar tror, att den ifrågavarande kungl. kungörelsen kommer att »kränka religionsfrihetens grundsatser» eller att undervisningen genom den »förlorar sin allmänkristliga karaktär» eller »växlas in på dogmatiska spår».</w:t>
        <w:br/>
        <w:br/>
        <w:t>Fastän jag har den uppfattningen, att »Luthers lilla katekes är ett snilleverk utan like i katekesernas historia», och fastän jag är övertygad om, att denna bok även i sin helhet är synnerligen användbar i barndomsskolan, så skall jag passa på tillfället att här tala om, att jag icke kommer att på grund av kungl. kungörelsen av den 6 december 1929 inom den folkskolestyrelse jag tillhör påyrka någon som helst förändring av den där gällande undervisningsplanen för ämnet kristendomskunskap.</w:t>
        <w:br/>
        <w:br/>
        <w:t>Herr talman! Med stöd av vad jag nu anfört hemställer jag, att förevarande motion icke måtte till någon första kammarens åtgärd föranleda.</w:t>
      </w:r>
    </w:p>
    <w:p>
      <w:pPr>
        <w:pStyle w:val="Heading2"/>
      </w:pPr>
      <w:r>
        <w:t>2. Ulrik Leander (Frisinnade folkpartiet, man)</w:t>
      </w:r>
    </w:p>
    <w:p>
      <w:r>
        <w:rPr>
          <w:b w:val="0"/>
        </w:rPr>
        <w:t>Herr talman! Då jag funnit riksdagens debatter rörande religionsfrågor föga uppbyggliga, har jag i allmänhet avhållit mig från att delta i dessa diskussioner. Jag har den kanske kätterska uppfattningen, att riksdagen inte har nog lena händer att avhandla dessa spörsmål. TI dag vilar emellertid en lugn och fridfull stämning över diskussionen, och därför har jag dristat mig till att begära ordet för ett kort anförande.</w:t>
        <w:br/>
        <w:br/>
        <w:t>Man förstår, att herr Rydén såsom fader till 1919 års undervisningsplan är mycket rädd om sitt verk och söker vaka över, att dess integritet bevaras. Det skall villigt erkännas, och det är ingen, som bestrider det, att undervisningsplanens stora förtjänst är, att den i fråga om kristendomsundervisningen 1 folkskolan hänvisar till urkunden eller urkällan, från vilken både Luthers lilla katekes och alla kristliga uppbyggelseoch läroböcker ha sitt utflöde. Trots vad min vän herr Boberg nyss anförde, finns det nog ändå sådana, som så myc-</w:t>
        <w:br/>
        <w:br/>
        <w:t>ket beundra Luthers lilla katekes, att de vilja sätta den vid sidan av den heliga A«ng. katekes-</w:t>
        <w:br/>
        <w:br/>
        <w:t>skrift eller kanske rent av över denna. De äro mera lutherska, dessa, än vad folkekdlan Luther själv var. Man behöver inte läsa långt i hans skrifter, förrän man blir (Forts.) |</w:t>
        <w:br/>
        <w:br/>
        <w:t>övertygad om, att han skulle ha betraktat en dylik tanke rent av som en hädelse. Herr Klefbeck har redan förut erinrat om, att bibelns gudomliga auktoritet och Guds ords överhöghet över alla människoord var en av de hörnpelare, varpå han byggde sin förkunnelse och sin lära. Och allra minst kan man förstå dem, som tro sig främja kristendomen och undervisningen i detta ämne genom att överträda gällande lag och författning. För ett sådant tillvägagångssätt finner man sannerligen icke stöd i katekesen, där Luther i stället säger, att vi icke skola förakta eller förtörna våra föräldrar och herrar, det vill säga vår överhet, utan i stället tjäna och lyda dem. Finner man en lag olämplig, må man söka få den ändrad eller avskaffad, men så länge den är lag, så gäller det i regel att ställa sig densamma till efterrättelse.</w:t>
        <w:br/>
        <w:br/>
        <w:t xml:space="preserve">Man måste beklaga, att den strid rörande undervisningen i kristendomsämnet i folkskolan, som en tid legat nere, åter blossat upp. I den mån den kungliga kungörelsen av den 6 december 1929 må ha bidragit till att gjuta olja på elden, kan man tycka, att det kanske varit bäst, att denna kungörelse aldrig hade sett dagen. Men å andra sidan förefaller det, som om herr Rydén och de med honom liktänkande ginge alltför långt i sin ängslan och omsorg om 1919 års undervisningsplan. Man må ha vilken åsikt som helst om åtgärden att utfärda kungörelsen i fråga, men icke kan den, som kallt ser på saken, finna undervisningsplanen hotad genom kungörelsens tillblivelse. När man påstått, att kungörelsen kan ge anledning till, att skolmyndigheter eller lärare ålägga barnen att lära sig hela Luthers lilla katekes utantill, kan jag icke finna annat, än att man här gör sig skyldig till en överdrift. Kungörelsen talar om »ett mindre antal korta, till såväl innehåll som form för barnen lättillgängliga stycken eller minnesord, hämtade ur Luthers lilla katekes eller annan den kristna kyrkans klassiska litteratur». Mot citat från denna senare litteratur har jag icke hört någon invändning göras, men så snart det gäller katekesen, tyckes man hysa en panisk förskräckelse. Alltså å ena sidan en överdriven beundran och å andra sidan en överdriven rädsla. Att i övrigt sätta likhetstecken emellan ett mindre antal korta stycken eller minnesord och hela lillkatekesen är väl ändå att överskrida sannolikhetens och det antagbaras gränser. Något omdöme har man rätt att tillskriva Sveriges högt bildade folkskollärarekår, som ju skall meddela undervisningen, något som allra minst herr Rydén torde vilja bestrida. Att påstå, att lärarna och </w:t>
      </w:r>
      <w:r>
        <w:rPr>
          <w:b/>
        </w:rPr>
        <w:t>lärarinnorna³</w:t>
      </w:r>
      <w:r>
        <w:rPr>
          <w:b w:val="0"/>
        </w:rPr>
        <w:t xml:space="preserve"> inte skulle kunna skilja på ett kort stycke och en hel bok, även om den är liten, betraktar jag nästan som ett slag i ansiktet på denna aktade kår. Märkas bör tillika, att det icke är något åläggande för läraren att låta barnen lära sig ett ur katekesen hämtat kortare stycke, utan det är blott ett medgivande för honom. Det är onödigt, mina herrar, att måla ut detta som en farlig buse, som man kan skrämma små och stora med.</w:t>
        <w:br/>
        <w:br/>
        <w:t>Undervisningsplanen medgiver ju, att barnen få lära sig bibelspråk och psalmverser, ävensom skaldestycken m. m. utantill. Om de också få lära sig till exempel Luthers förklaring över åttonde budet, som friherre Lagerfelt nyss omnämnde, så kunna de omöjligen ta någon skada därav. Jag tänker väl, att herrarna minnas den där förklaringen från den tid ni läste katekesen, men det torde ursäktas mig, om jag citerar den ånyo, ty sådana goda och praktiska ord förtjäna, att man ofta citerar dem. Förklaringen lyder: »Vi skola frukta och älska Gud, så att vi icke beljuga, förråda, baktala eller illa berykta vår nästa, utan vi skola urskulda honom, tänka och tala väl om honom och tyda allt till det bästa.» Detta är väl ändå inte någon svårfattlig dogm utan ren och klar och enkel och praktisk kristendom, som skulle i betydlig grad förljuva samlivet</w:t>
        <w:br/>
        <w:br/>
        <w:t>oss människor emellan, om den på allvar övades. Vi äldre fingo lära oss icke blott lillkatekesen utan hela långkatekesen utantill, och jag kan inte för min del påstå, att jag haft någon skada därav, och jag undrar, om någon av herrarna kan driva ett sådant påstående. Skadan ligger väl i stället däri, att vi ofta glömt att tillämpa vad vi lärde. Jag nämnde åttonde budet och Luthers förklaring därtill. Många av våra medmänniskor hade mått väl av, om de haft dessa ord i minnet, och själva ha vi ingalunda mått illa därav. Härmed vill jag naturligtvis icke påstå, att man, liksom man gjorde förr, skall ålägga barnen att helt mekaniskt rabbla upp det ena stycket efter det andra utantill, men den saken är ju inte heller nu ifrågasatt.</w:t>
        <w:br/>
        <w:br/>
        <w:t>Tyvärr har nu detta blivit en prestigefråga, en strid om makten. Den högt ärade motionären, som ju är en stor pedagog och inte bara en stor pedagog utan även en stor psykolog, vet dock, att man inte kan göra anspråk på att alltid driva sin vilja igenom, och det vore kanske inte heller nyttigt. Andra viljor måste också ha rätt att göra sig gällande. Det ligger inte utom möjligheternas gräns, att även en stor man kan taga fel och driva åsikter, som behöva korrigeras. All visdom bor inte i ett enda huvud, och därför får man nu finna sig 1, att också andra ha en mening och att man själv emellanåt får se sina egna meningar och planer överkorsade.</w:t>
        <w:br/>
        <w:br/>
        <w:t>Utskottet säger, att dess förslag dikterats av omtanken om folkskolans sanna välfärd, och därpå har jag för min del inte tvivlat ett enda ögonblick. Men åsikterna äro nu olika, huruvida kungörelsens upphävande, när den nu en gång ändå har blivit utfärdad, verkligen skulle medföra det resultat, som utskottet tror och tänker. Jag hör tvärtom till dem, som förmena, att kungörelsens återkallande skulle på nytt aktualisera och skärpa striden. Utan att de kunna beskyllas för någon benhård ortodox uppfattning, så är det ändå många, många, som inte kunna tycka annat, än att det vittnar om en viss ofördragsamhet och skolastisk dogmatism att inte kunna medgiva, att ens en enda rad får av barnen inläras ur en bok, som dock under långliga tider använts såsom lärobok och som onekligen innehåller mycket av högt värde. Man bör väl åtminstone, som den ene av reservanterna framhåller, nu vänta med kungörelsens återkallande, tills man får se, om den kommer att medföra alla de olägenheter och allt det ohägn, som man tillskriver den. Hittills har man just inte kunnat åberopa några verkliga fakta, utan till grund för svartmålningarna ha endast legat förmodanden och spådomar. Man kan väl ändå inte, mina herrar, singla slant om en förordning, och ändra den fram och tillbaka eller allt för ofta göra rubbningar i densamma. Trots vad nu de, som fört utskottets talan, här ha sagt, anser jag ändå, att man bör vänta och se.</w:t>
        <w:br/>
        <w:br/>
        <w:t>Nu ha reservanterna inte kunnat ena sig om motiveringen för sina yrkanden om avslag. För min del är jag inte riktigt till freds med någon av dessa motiveringar, men det betyder ju inte så mycket, hur en motivering för ett avslag på en motion är formulerad. Då emellertid herr Jonssons reservation mest överensstämmer med min uppfattning, även om jag har åtskilligt att anmärka mot den också, så ber jag att åtminstone tills vidare få yrka avslag på utskottets hemställan och bifall till den av herr Jonsson vid betänkandet fogade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630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