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644</w:t>
      </w:r>
    </w:p>
    <w:p>
      <w:r>
        <w:rPr>
          <w:b/>
        </w:rPr>
        <w:t xml:space="preserve">Datum: </w:t>
      </w:r>
      <w:r>
        <w:t>1931-03-14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Ivar Vennerström (Socialdemokraterna, man)</w:t>
      </w:r>
    </w:p>
    <w:p>
      <w:r>
        <w:rPr>
          <w:b w:val="0"/>
        </w:rPr>
        <w:t>Jag vill liksom min granne till höger, herr Norling, erkänna, att jag utan betänkande ställer min värdighet såsom allvarlig riksdagsman till disposition. Jag vill nämligen liksom herr förste vice talmannen</w:t>
        <w:br/>
        <w:br/>
        <w:t>av tacksamhet yrka bifall till herr Hellbergs motion, och jag gör det till stor del därför, att jag har ett visst litet behov att försvara herr Hellberg mot anmärkningen, att han genom väckande av denna motion svikit de gamla goda traditionerna — som herr Norling erinrade om — från det berömda 80-talet. På den tiden slogs man för yttrandeoch tankefrihet, och man ville som bekant inte genom tvångslagar ingripa på det andliga området. Det vill därför förefalla åtminstone mig, som om herr Hellberg i det fallet är inne på samma linje. Han är den trofaste, jag vill inte säga, tennsoldaten, men i varje fall är han trofast mot de gamla och goda traditionerna. Jag vill erkänna, att man har skyldigheter, när det gäller att slåss för tankeoch yttrandefriheten, och jag vill säga, att en sådan här gammal kvarleva, låt vara en tämligen oskadlig kvarleva, ett sådant här gammalt rudiment från en tid, då man dömde till livet och till och med till stegel den, som idkade trolldom, borde vi verkligen kunna vara färdiga att år 1931 röja ut ur lagen.</w:t>
        <w:br/>
        <w:br/>
        <w:t xml:space="preserve">Herr Bissmark skrämde mig för de farliga utländska sibyllorna, som skulle komma in i landet, ifall vi följde herr Hellbergs rådgivning. Jag skulle vilja se på den där sibyllan. Jag skall taga emot </w:t>
      </w:r>
      <w:r>
        <w:rPr>
          <w:b/>
        </w:rPr>
        <w:t>henne²</w:t>
      </w:r>
      <w:r>
        <w:rPr>
          <w:b w:val="0"/>
        </w:rPr>
        <w:t xml:space="preserve"> med varm hand utan vidare, och jag tycker, att som någon omväxling gentemot den från underjorden kommande Dante skulle det vara synnerligen intressant att även se en sibylla i den förföriska skepnad, som herr Bissmark här för oss allesammans utmålade. Jag tycker, att vi skola inte fördöma romantiken i tillvaron. Jag är visserligen för min del inte böjd för att anlita spågummor, vare sig med eller utan kjol. Jag har aldrig gjort det och kommer aldrig att göra det. Jag tycker, att det är en smula löjligt, men jag får säga, att den romantik, som ligger i att se i lite kaffesump eller lägga en liten patiens och eventuellt taga 25 öre därför, skola vi verkligen kunna unna mänskligheten i denna vardagliga och trista tillvaro.</w:t>
        <w:br/>
        <w:br/>
        <w:t>Liksom herr Hellberg, ber jag, såsom en demonstration för min önskan att ur lagen utrensa alla sådana här gamla kvarlevor, som äro onödiga, och låta den fria upplysningen verka även på det andliga området — ty jag tror på den — nu att få yrka bifall till herr Hellbergs hemställan.</w:t>
      </w:r>
    </w:p>
    <w:p>
      <w:pPr>
        <w:pStyle w:val="Heading2"/>
      </w:pPr>
      <w:r>
        <w:t>2. Mauritz Hellberg (Liberala riksdagspartiet, man)</w:t>
      </w:r>
    </w:p>
    <w:p>
      <w:r>
        <w:rPr>
          <w:b w:val="0"/>
        </w:rPr>
        <w:t>Herr talman! Det gyckel och det överlägsna löje, som jag utsattes för från herr Paulis sida, har jag i förväg fått från annat håll, och skulle jag säga, som jag ville, tycker jag nog, att det första var en liten smula roligare än det, som kom från honom. Jag bryr mig emellertid inte om att bemöta honom såsom representant för den allmänna opinionen, den »ganska allmänna meningen», som han sade, ty han har fått en vederläggning, som säkerligen känns för honom mycket starkare, än om jag sade någonting, från sina båda partivänner, herr förste vice talmannen och herr Vennerström. Jag säger för min del blott, att här ser man, herr talman, den skillnad, som går mellan de människor, som så att säga äro sadelfasta i det gamla vanetänkandets föreställningssätt, och dem, som begripa, att det finns, som Hamlet säger, mer mellan himmel och jord än vad man drömt om i deras vetenskap.</w:t>
        <w:br/>
        <w:br/>
        <w:t>Det har insinuerats mot mig, att jag skulle vara besjälad av något alldeles särskilt intresse för spåkvinnorna. Jag försäkrar herrarna, att det är tvärtom så, att jag trots spåkvinnorna har väckt denna motion. Det är det verkliga förhållandet, ty det var någonting större och viktigare än detta, som har trätt fram för mig. Jag kommer kanske att beröra det senare.</w:t>
        <w:br/>
        <w:br/>
        <w:t>När ni nu tala om dessa spåkvinnor, så vill jag säga, att de äro väl också människor, som vi alla andra, och det finns säkerligen olika slag av dem. Jag har hört uppgivas — jag kan naturligtvis inte garantera det — att det har verkställts undersökningar här på privat väg angående deras begåvning, och dessa undersökningar skulle ha givit till resultat, att ungefär 3 Zz av dem kun-</w:t>
        <w:br/>
        <w:br/>
        <w:t xml:space="preserve">na hänföras till det rena bedrägeriet. De andra ha däremot mer eller mindre clairvoyant begåvning. Sedan må man tillmäta detta vilket värde man vill. Men inte kan det väl vara någon sådan stor olycka, ifall någon människa går till dessa spåkvinnor, och de skulle säga det och det till </w:t>
      </w:r>
      <w:r>
        <w:rPr>
          <w:b/>
        </w:rPr>
        <w:t>henne²</w:t>
      </w:r>
      <w:r>
        <w:rPr>
          <w:b w:val="0"/>
        </w:rPr>
        <w:t xml:space="preserve">. Antag, att det kommer till exempel en barnlös </w:t>
      </w:r>
      <w:r>
        <w:rPr>
          <w:b/>
        </w:rPr>
        <w:t>änka²</w:t>
      </w:r>
      <w:r>
        <w:rPr>
          <w:b w:val="0"/>
        </w:rPr>
        <w:t xml:space="preserve"> och frågor en sådan spåkvinna till råds och får höra, att </w:t>
      </w:r>
      <w:r>
        <w:rPr>
          <w:b/>
        </w:rPr>
        <w:t>hon²</w:t>
      </w:r>
      <w:r>
        <w:rPr>
          <w:b w:val="0"/>
        </w:rPr>
        <w:t xml:space="preserve"> är lyckligt gift och har fem barn. Då är det väl klart, att inte bryr </w:t>
      </w:r>
      <w:r>
        <w:rPr>
          <w:b/>
        </w:rPr>
        <w:t>hon²</w:t>
      </w:r>
      <w:r>
        <w:rPr>
          <w:b w:val="0"/>
        </w:rPr>
        <w:t xml:space="preserve"> sig om en sådan spåkvinna vidare. De, som inte kunna visa, att de förstå någonting, få naturligtvis inget klientel, medan de, som ha en viss begåvning, få det. -</w:t>
        <w:br/>
        <w:br/>
        <w:t>Nu vill jag fråga: vad blir skillnaden, om vi upphäva denna lag? Är det någon av herrarna i denna kammare, som kan säga det? Vi kunna gå till polisen och få vittnesbörd om att det anställes praktiskt taget aldrig åtal, annat än om det kommer någun anonym anmälan, som tvingar polisen att gripa in. Annars få spåkvinnorna driva sin hantering fritt. I Norge hindrar dem intet lagbud. Ha herrarna hört, att därigenom någon olycka har skett där? Jag skulle snarast tro, att om dessa saker komma fram i fulla dagsljuset, komma de att förlora mycket av den där romantiska dragningskraften, som de nu ha, så länge de utövas i skymundan.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644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