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1892</w:t>
      </w:r>
    </w:p>
    <w:p>
      <w:r>
        <w:rPr>
          <w:b/>
        </w:rPr>
        <w:t xml:space="preserve">Datum: </w:t>
      </w:r>
      <w:r>
        <w:t>1931-04-18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August Sävström (Socialdemokraterna, man)</w:t>
      </w:r>
    </w:p>
    <w:p>
      <w:r>
        <w:rPr>
          <w:b w:val="0"/>
        </w:rPr>
        <w:t>Herr talman! Jag förutsätter, att det beslut, vartill talmanskonferensen kommit, kommer att vinna bifall av kammaren. Emellertid skulle jag ändå, innan klubban faller, vilja säga ett par ord.</w:t>
        <w:br/>
        <w:br/>
        <w:t xml:space="preserve">Det som åberopades i det uttalande, herr förste vice talmannen gjorde, nämligen konstitutionsutskottets utlåtande från 1919 och 1921, som i det här fallet skulle vara rättesnören, äger naturligtvis sin riktighet. Men det kan icke förnekas, att genom fjolårets beslut rörande ändringen i kommunallagarna har det dock skett en viss utsträckning av det begrepp, som det här är fråga om. Genom det beslut, som riksdagen då fattade, när det gällde suppleantskap, när det gällde </w:t>
      </w:r>
      <w:r>
        <w:rPr>
          <w:b/>
        </w:rPr>
        <w:t>kvinnas¹</w:t>
      </w:r>
      <w:r>
        <w:rPr>
          <w:b w:val="0"/>
        </w:rPr>
        <w:t xml:space="preserve"> rätt till avsägelse och, framför allt, när det gällde den ekonomiska koncentrationen i kommunerna, som på konstitutionsutskottets initia-</w:t>
        <w:br/>
        <w:br/>
        <w:t>tiv föreslogs och av riksdagen bifölls, måste man säga, att det ändå i varje fall skett en viss förskjutning.</w:t>
        <w:br/>
        <w:br/>
        <w:t>Nu yttrade herr Lindman, att man skulle kunna tänka sig, att dessa ärenden kunde avgöras gemensamt av lagutskott och konstitutionsutskottet, och det är ju en utväg. Emellertid har jag försport, att den kommitté, som är tillsatt för riksdagsarbetets omorganisation, ämnar föreslå en inskränkning i arbetet på sammansatta utskott. Och det är klart, att det här framkastade förslaget skulle i sin mån bidraga till en utökning av tillsättandet av sammansatta utskott.</w:t>
        <w:br/>
        <w:br/>
        <w:t>Jag har i varje fall velat anföra detta, innan ärendet avgöres, för att sålunda påpeka, att det kan råda delade meningar i ärendet, även om jag förstår, att da kommer att fatta det beslut, som herr förste vice talmannen yrkat bifall till.</w:t>
      </w:r>
    </w:p>
    <w:p>
      <w:pPr>
        <w:pStyle w:val="Heading2"/>
      </w:pPr>
      <w:r>
        <w:t>2. Sven Bengtsson (Folkpartiet, man)</w:t>
      </w:r>
    </w:p>
    <w:p>
      <w:r>
        <w:rPr>
          <w:b w:val="0"/>
        </w:rPr>
        <w:t>Herr talman! Den siste ärade talaren tycks hava missuppfattat herr Lindmans uttalande angående sammansatta utskott. Det var icke så, att herr Lindman i detta fall rekommenderade ett sådant förfaringssätt. Men vi veta, att det kan inträffa sådana fall, att en fråga bäst förberedes genom gemensamt eller sammansatt utskott.</w:t>
        <w:br/>
        <w:br/>
        <w:t>Vidare vill jag säga, att när det gäller att i tillämpningen tolka grundlagen, bör man såvitt möjligt följa den praxis, som utvecklat sig, och icke allt för mycket vara bunden av själva bokstaven. Och i detta fall har ju den praxis utvecklat sig, som av flera talare påpekats. Då tycker jag, i likhet med den som framhållits av herr förste vice talmannen, att denna praxis bör följas äver i detta fall. Nu är det givet, att det kan uppstå gränsfall, då man kan vara tveksam, huruvida man skall handla på det ena eller det andra sättet. Men saken är den, att om kammaren nu mot förmodan skulle godkänna lagutskottens memorial, så bleve detta detsamma som att framkalla ett onödigt debatterande och onödiga strider gång efter annan på detta område. Och det är detta man vill försöka undvika.</w:t>
        <w:br/>
        <w:br/>
        <w:t>Efter de yttranden, som fällts av lagutskottens ledamöter, varav framgår, att de icke ha varit så avgjorda för sin ståndpunkt i frågan, utan att det mera har varit en tillfällig stämning, som fört dem dithän, tycker jag, att det finns så mycket mindre skäl att bifalla memorialet, varför jag, herr talman, ber att få förena mig med herr förste vice talmannen i hans yrkande.</w:t>
        <w:br/>
        <w:br/>
        <w:t>- Härmed var överläggningen slutad. Herr talmannen framställde propositioner dels på bifall till utskottens hemställan, dels ock på avslag därå; och blev berörda hemställan av kammaren avslagen.</w:t>
        <w:br/>
        <w:br/>
        <w:t>Understödet utgår med följande belopp för varje dag, den värnpliktige äger tillgodoräkna sig såsom tjänstgöringsdag, inoch utryckningsdagarna inberäknade, nämligen:</w:t>
        <w:br/>
        <w:br/>
        <w:t>Utom äktenskap födda barn äro berättigade till understöd i likhet med inom äktenskap födda. e .</w:t>
        <w:br/>
        <w:br/>
        <w:t xml:space="preserve">Värnpliktig skall själv bidraga till det hans </w:t>
      </w:r>
      <w:r>
        <w:rPr>
          <w:b/>
        </w:rPr>
        <w:t>hustru²</w:t>
      </w:r>
      <w:r>
        <w:rPr>
          <w:b w:val="0"/>
        </w:rPr>
        <w:t xml:space="preserve"> eller barn tillkommande understödet med en femtedel av penningbidraget.</w:t>
        <w:br/>
        <w:br/>
        <w:t>rande värnpliktiga under den tjänstgöring, till vars fullgörande de då äro in- |</w:t>
        <w:br/>
        <w:br/>
        <w:t xml:space="preserve">Under den tid, värnpliktig fullgör honom enligt gällande författningar åliggande värnpliktstjänstgöring i fredstid, skall hans </w:t>
      </w:r>
      <w:r>
        <w:rPr>
          <w:b/>
        </w:rPr>
        <w:t>hustru²</w:t>
      </w:r>
      <w:r>
        <w:rPr>
          <w:b w:val="0"/>
        </w:rPr>
        <w:t xml:space="preserve"> eller husföreståndarinna och barn erhålla understöd av statsmedel enligt i denna förordning stadgade grunder, såvida understöd är nödvändigt för deras uppehälle.</w:t>
        <w:br/>
        <w:br/>
        <w:t>Understöd utgår i enlighet med av socialstyrelsen utarbetade dyrortsgruppering med följande belopp för varje dag, den värnpliktige äger tillgodoräkna sig såsom tjänstgöringsdag, inoch utryckningsdagarna inberäknade, nämligen:</w:t>
        <w:br/>
        <w:br/>
        <w:t xml:space="preserve">mans, skall begränsning av understöd i enlighet med ovan angivna grunder ske särskilt för sig beträffande vardera </w:t>
      </w:r>
      <w:r>
        <w:rPr>
          <w:b/>
        </w:rPr>
        <w:t>moderns²</w:t>
      </w:r>
      <w:r>
        <w:rPr>
          <w:b w:val="0"/>
        </w:rPr>
        <w:t xml:space="preserve"> barn, i förekommande fall </w:t>
      </w:r>
      <w:r>
        <w:rPr>
          <w:b/>
        </w:rPr>
        <w:t>hustru²</w:t>
      </w:r>
      <w:r>
        <w:rPr>
          <w:b w:val="0"/>
        </w:rPr>
        <w:t xml:space="preserve"> jämte barn. Är den värnpliktige på grund av avtal eller genom domstols utslag, vilka vunnit laga kraft, förpliktad att till </w:t>
      </w:r>
      <w:r>
        <w:rPr>
          <w:b/>
        </w:rPr>
        <w:t>hustru²</w:t>
      </w:r>
      <w:r>
        <w:rPr>
          <w:b w:val="0"/>
        </w:rPr>
        <w:t xml:space="preserve"> eller barn utgiva underhållsbidrag med visst belopp och överstiger det dagliga understöd, som med tillämpning av ovan angivna grunder skulle utgå, vad enligt avtalet eller utslaget belöper för dag, skall understödet nedsättas till sistnämnda belopp.</w:t>
      </w:r>
    </w:p>
    <w:p>
      <w:pPr>
        <w:pStyle w:val="Heading2"/>
      </w:pPr>
      <w:r>
        <w:t>3. Oscar Öhman (Kilbomspartiet, man)</w:t>
      </w:r>
    </w:p>
    <w:p>
      <w:r>
        <w:rPr>
          <w:b w:val="0"/>
        </w:rPr>
        <w:t>Herr talman! Om det verkligen är meningen att de värnpliktiga under den tid, de äro inkallade till tjänstgöring och hava försörjningsplikt, skola erhålla familjebidrag, då förefaller det mig, som om det skulle vara otänkbart, att nu föreliggande förslag från utskottet till förordning om grunderna för detta understöds utgående skall kunna vinna riksdagens bifall. Men det är tydligt på det sättet, att just dem, som i första hand skulle behöva hjälp, alltså de ekonomiskt sämst ställda, har man icke tagit någon hänsyn till. Det förefaller i varje fall att vara på det sättet, att när man utformat förslaget, har man lämnat största möjliga svängrum för den prövande myndigheten att kunna avstyrka en framställning från en värnpliktig om att erhålla understöd för sin familj under den tid, han är inkallad till militärtjänstgöring. Den skärpta bestämmelse i detta avseende, som finnes införd i förordningens första paragraf, andra stycket, kommer alldeles säkert att i sin praktiska tillämpning i första hand betyda, att många av de värnpliktiga, som sakna fast och varaktig arbetsanställning, komma att lämnas utan hjälp under den tid, de äro utkallade till militärtjänstgöring.</w:t>
        <w:br/>
        <w:br/>
        <w:t>Om en värnpliktig, som inkallas till militärtjänst, är arbetslös, så kan ju den prövande myndigheten med stöd av förordningen som motivering för sitt avslag på framställningen anföra, att den omständigheten att han utkallats till militärtjänst icke varit orsak till att han kommit i den ställningen, att han icke kan försörja sin familj; han var redan tidigare, innan inkallandet till militärtjänst skedde, i det läget, att han icke kunde fullgöra sin försörjningsskyldighet. Rent formellt kan det naturligtvis vara riktigt, och enligt förordningens ordalydelse har naturligtvis den prövande myndigheten rätt att fatta ett sådant beslut, men om vi titta på problemet ur en annan synpunkt, skola vi finna, att vad den prövande myndigheten icke kan bedöma är, huruvida den värnpliktige, som blir inkallad till militärtjänst, var arbetslös, då denna inkallelse kanske icke kom förrän ett par dagar efter det han kunde fått anställning och han följaktligen kommit i det läget att han kunnat fullgöra sin försörjningsskyldighet. Men dessa värnpliktiga, som icke hava fast anställning, de skola under den tid, de fullgöra sin militärtjänst, under den tid, de lära sig vapnens bruk för att försvara fosterlandet, som det heter, straffas med att komma i ett ännu svårare läge. Den uppfattningen, att arbetslöshet och säsongarbetare komma att drabbas hårt och orättvist av den nu föreslagna förordningen med dessa restriktiva bestämmelser, delas ju också av en del av de myndigheter, som yttrat sig i ärendet. Jag tillåter mig i det avseendet erinra om vad t. ex. statens fattigvårdsinspektör anför. Han säger: »En värnpliktig kan ha gått arbetslös under flera månader omedelbart före inryckningen i militärtjänstgöringen och därunder saknat möjlighet att fullgöra sin försörjningsskyldighet. Han har icke saknat försörjningsvilja, men omständigheter, varöver han ej kunnat råda, ha hindrat honom från att försörja familjen», och han frågar: »Skall</w:t>
        <w:br/>
        <w:br/>
        <w:t xml:space="preserve">värnpliktstjänstgöringen i ett sådant fall berättiga </w:t>
      </w:r>
      <w:r>
        <w:rPr>
          <w:b/>
        </w:rPr>
        <w:t>hustru²</w:t>
      </w:r>
      <w:r>
        <w:rPr>
          <w:b w:val="0"/>
        </w:rPr>
        <w:t xml:space="preserve"> och barn till statsunderstöd?»</w:t>
        <w:br/>
        <w:br/>
        <w:t>Jag skulle för min del vilja ställa samma fråga i första hand till utskottets ledamöter: huru hava herrarna tänkt behandla ett fall sådant som detta? Skall en värnpliktig i denna situation lämnas utan varje som helst stöd från statsmakternas sida?</w:t>
        <w:br/>
        <w:br/>
        <w:t>Socialstyrelsen har också i samma hänseende anfört bl. a.: »Så till exempel kan det tänkas, att en värnpliktig säsongarbetare omedelbart före arbetssäsongens slut ryckes från arbetet, vilket kanske skulle ha varit endast några dagar till. I ett dylikt fall har värnpliktstjänstgöringen visserligen formellt ryckt den värnpliktige från arbetet men kan knappast betraktas såsom den reella orsaken till hans eventuella oförmåga att försörja sin familj. I ett annat fall åter kan den förestående inryckningen till värnpliktstjänstgöring i veckor eller månader utgöra hinder för en arbetssökande värnpliktig att få tillträda en eljest till buds stående anställning. Erfarenheten synes också utvisa, att personer under den närmaste tiden före inryckningen ofta möta svårigheter att erhålla arbetsanställning.»</w:t>
        <w:br/>
        <w:br/>
        <w:t>Huru hava nu utskottets ärade ledamöter tänkt att ställa.sig i dylika fall? Anses det riktigt, att dessa värnpliktiga skola straffas med att under militärtjänstgöring lämnas utan någon som helst hjälp? Jag för min del anser det vara fullständigt orimligt, och det är också därför som jag och mina partikamrater icke kunna stödja utskottets uttalande i denna fråga.</w:t>
        <w:br/>
        <w:br/>
        <w:t xml:space="preserve">Men även om en värnpliktig lyckas att kryssa sig över alla de hinder, alla de restriktiva bestämmelser, som man infört i denna förordning, och således kommit i åtnjutande av understöd, så måste man säga, att sparsamheten har här, när det gällt att bestämma familjebidragets storlek, satt verkligt stora spår efter sig. I bästa fall kan en värnpliktig med en familj, bestående av </w:t>
      </w:r>
      <w:r>
        <w:rPr>
          <w:b/>
        </w:rPr>
        <w:t>hustru²</w:t>
      </w:r>
      <w:r>
        <w:rPr>
          <w:b w:val="0"/>
        </w:rPr>
        <w:t xml:space="preserve"> och -två eller flera barn, komma i åtnjutande av ett familjeunderstöd på 12 kr. 25 öre i veckan. Om vi antaga, att en värnpliktig är bosatt i Stockholm, så ig detta familjebidrag ungefär ”/, av hyran för en lägenhet om rum och kokvrå.</w:t>
        <w:br/>
        <w:br/>
        <w:t>Under debatten här i kammaren om anslag till fjärde huvudtiteln var det visst herr Hansson i Stockholm, som framhöll, att en av orsakerna till att vi här i landet hade en militärbudget, som per invånare och huvud var större än i jämförliga länder, låg däri, att man hade på ett sådant utomordentligt sätt ordnat för de värnpliktiga under militärutbildningen. Man behöver bara erinra om vad man här föreslår i familjeunderstöd till de värnpliktiga, för att talet om att man här tar hänsyn till deras intressen vid behandlingen av anslag på fjärde huvudtiteln skall framstå i sin rätta belysning. Lägg därtill att för att erhålla dessa 12 kr. 25 öre i veckan i familjeunderstöd skall den värnpliktige själv bidraga med ?/; av den dagsersättning av 50 öre, som han åtnjuter under sin militärtjänstgöring.</w:t>
        <w:br/>
        <w:br/>
        <w:t>Då jag och mina partikamrater hysa den uppfattningen, att det är statens skyldighet att i sådana fall, som det här är fråga om, ingripa och hålla de värnpliktiga i rimlig utsträckning ekonomiskt skadeslösa under den tid de fullgöra militärtjänstgöringen, är det också självklart, att vi icke kunna biträda det förslag, som här föreligger, och jag ber därför med dessa ord, herr talman, att få yrka bifall till den i ärendet av mig och mina partikamrater framförda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1892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