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656</w:t>
      </w:r>
    </w:p>
    <w:p>
      <w:r>
        <w:rPr>
          <w:b/>
        </w:rPr>
        <w:t xml:space="preserve">Datum: </w:t>
      </w:r>
      <w:r>
        <w:t>1931-04-18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Mellen (–, man)</w:t>
      </w:r>
    </w:p>
    <w:p>
      <w:r>
        <w:rPr>
          <w:b w:val="0"/>
        </w:rPr>
        <w:t>Herr talman! Jag hade icke tänkt yttra mig i denna fråga. Då emellertid herr Lindhagen kom med en del uppgifter, som icke överensstämma med verkliga förhållandet, ber jag att under några ögonblick få taga kammarens uppmärksamhet i anspråk.</w:t>
        <w:br/>
        <w:br/>
        <w:t xml:space="preserve">De icke rättsbildade biträdenas lönefråga är ordnad sedan några år tillbaka, som också utskottet framhållit, och det på rätt hårda villkor för häradshövdingarna. Vi betrakta icke våra biträden som lump, herr Lindhagen. Tvärtom! Vi avlöna dem rätt så bra numera — måhända delvis till följd av statsmakternas inskridande, det vill jag inte förneka. Men de ha nu i regel en så god avlöning, att de i många fall ha det betydligt bättre ställt än många, som äro anställda i statens tjänst. Jag har en </w:t>
      </w:r>
      <w:r>
        <w:rPr>
          <w:b/>
        </w:rPr>
        <w:t>flicka²</w:t>
      </w:r>
      <w:r>
        <w:rPr>
          <w:b w:val="0"/>
        </w:rPr>
        <w:t xml:space="preserve">, som varit hos mig i femton år. </w:t>
      </w:r>
      <w:r>
        <w:rPr>
          <w:b/>
        </w:rPr>
        <w:t>Hennes²</w:t>
      </w:r>
      <w:r>
        <w:rPr>
          <w:b w:val="0"/>
        </w:rPr>
        <w:t xml:space="preserve"> lön går upp till över 3,000 kronor om året allt som allt, och dessutom betalar jag årligen 100 kronor till </w:t>
      </w:r>
      <w:r>
        <w:rPr>
          <w:b/>
        </w:rPr>
        <w:t>hennes²</w:t>
      </w:r>
      <w:r>
        <w:rPr>
          <w:b w:val="0"/>
        </w:rPr>
        <w:t xml:space="preserve"> pensionering i enlighet med av Kungl. Maj:t givna föreskrifter. Jag tror, att </w:t>
      </w:r>
      <w:r>
        <w:rPr>
          <w:b/>
        </w:rPr>
        <w:t>hon²</w:t>
      </w:r>
      <w:r>
        <w:rPr>
          <w:b w:val="0"/>
        </w:rPr>
        <w:t xml:space="preserve"> en gång skall vara tämligen bra tryggad i pensionshänseende, bättre än många extra ordinarie i statens verk. Det var förr i världen en oerhört olycklig anställning, som dessa skrivbiträden hade, men så är inte fallet nu. Förhållandena äro nu rätt tillfredsställande ordnade. Jag ber, herr talman, att få yrka bifall till utskottets hemställan.</w:t>
      </w:r>
    </w:p>
    <w:p>
      <w:pPr>
        <w:pStyle w:val="Heading2"/>
      </w:pPr>
      <w:r>
        <w:t>2. Carl Lindhagen (–, man)</w:t>
      </w:r>
    </w:p>
    <w:p>
      <w:r>
        <w:rPr>
          <w:b w:val="0"/>
        </w:rPr>
        <w:t>Det förvånar mig högeligen, att man kan stå här och påstå, att dessa befattningshavares pensionsförhållanden äro bra ordnade. Jag har ej talat om den avlöning, som de få för sitt skrivarbete, ty den måste ju vara rimlig i varje händelse. Det belopp, som här nämndes, motsvarar ungefärligen vad offentligt anställda maskinskriverskor ibland kunna förtjäna, kanske något mindre. Det har emellertid sagts mig att skrivbiträdena vid hä- 0 kanslier oftast äro avlönade i underkant, vilket ock är ganska begripligt.</w:t>
        <w:br/>
        <w:br/>
        <w:t>Men nu tala vi om vad den ärade damen får i pension med de där ett hundra kronornas årliga insättning av domhavanden. Jag trodde verkligen, att den siste ärade talaren bort veta vad så många häradshövdingar själva erinrat, vad för övrigt hela världen vet och vad inom riksdagen också erkänts, nämligen att för hela den nu levande generationen av dessa skrivbiträden äro pensionsförhållandena totalt försummade. De kunna på grund av hundrakronorsinsatsen, om de nu varit i tjänst endast en kort tid, en gång i framtiden få någon mycket liten slant, men ingalunda en vanlig pension. De, som däremot tillhöra de äldre årsklasserna, få ingenting alls. Öch varför skall man inte ta hänsyn till dem? Det fall vi här behandla är ett sådant fall. Vid rådhusrätten här i staden fingo alla skrivbiträdena vid den fasta anställningens införande räkna sig tillgodo de tjänsteår, som de hade som enskilt anställda hos assessorerna, Den ingick i deras pensionsberäkning. Men i de fall, som här äro</w:t>
        <w:br/>
        <w:br/>
        <w:t xml:space="preserve">på tal, få skrivbiträdena ingenting alls. Och här står ändå den siste talaren och påstår, att för detta skrivbiträde är välordnat, då man vet, att </w:t>
      </w:r>
      <w:r>
        <w:rPr>
          <w:b/>
        </w:rPr>
        <w:t>hon²</w:t>
      </w:r>
      <w:r>
        <w:rPr>
          <w:b w:val="0"/>
        </w:rPr>
        <w:t xml:space="preserve"> nu i b pensionsavseende befinner sig på nödens yttersta brant.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656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