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670</w:t>
      </w:r>
    </w:p>
    <w:p>
      <w:r>
        <w:rPr>
          <w:b/>
        </w:rPr>
        <w:t xml:space="preserve">Datum: </w:t>
      </w:r>
      <w:r>
        <w:t>1931-05-08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Spens (Första kammarens nationella parti, man)</w:t>
      </w:r>
    </w:p>
    <w:p>
      <w:r>
        <w:rPr>
          <w:b w:val="0"/>
        </w:rPr>
        <w:t>Herr talman! Jag skall tillåta mig säga några ord i detta ärende; jag anser nämligen inte att det står i så nära samband med det föregående ärendet, som utskottets ärade ordförande nyss ville göra gällande.</w:t>
        <w:br/>
        <w:br/>
        <w:t>Utskottets majoritet har ansett, att den senaste tidens erfarenheter från de fackliga striderna på arbetsfältet alldeles tydligt giva vid handen, att ökat skydd bör, särskilt vid arbetskonflikter, kunna beredas tredje man jämväl med avseende på hans personliga handlingsfrihet. Eljest kan, på sätt motio-</w:t>
        <w:br/>
        <w:br/>
        <w:t>för, i likhet med motionärerna, ansett att de allmänna bestämmelserna i 15 kap. strafflagen, som handla om frihetsstraffen, böra så ändras, att hot med misshandel eller brottslig gärning, som nu endast få åtalas av målsäganden, d. v. s. den emot vilken hotet riktats, måtte kunna få åtalas jämväl av allmänna åklagaren, i allmänhet dock endast efter angivelse av målsäganden. Utskottets majoritet har även ansett, att en sådan lagändring är brådskande.</w:t>
        <w:br/>
        <w:br/>
        <w:t>Utskottets reservanter ha däremot ansett, att motionerna böra avslås redan på grund av att utredning pågår om tredje mans rätt till neutralitet i arbetskonflikter. Härvid vill jag erinra, att den pågående utredningen i främsta rummet avser ersättning för genom neutralitetskränkning vållad skada. Det synes därför enligt min mening finnas fullt fog för att framhålla behovet Jämväl av straffrättsliga åtgärder.</w:t>
        <w:br/>
        <w:br/>
        <w:t>Utskottet skulle gärna ha önskat att kunna tillstyrka antagande redan nu av den i motionerna föreslagna ändrade lydelsen av 24 par. i 15 kap. strafflagen. Men då inom utskottet av skäl, som utlåtandet angiver, uppstått tvekan, huruvida den föreslagna lydelsen av nämnda paragraf är fullt lämplig, har utskottet ansett sig nödsakat att hemställa om skrivelse till Kungl. Maj:t med anhållan, att Kungl. Maj:t ville redan vid nästkommande riksdag framlägga förslag till ändring i nämnda paragraf, innebärande utvidgning av rätten att anställa åtal för hot med misshandel eller brottslig gärning.</w:t>
        <w:br/>
        <w:br/>
        <w:t xml:space="preserve">I såväl motionerna som i utskottets utlåtande har framhållits, att den svenska lagens regel om anställande av åtal för sådant hot överhuvud taget, och sålunda även i andra fall än vid arbetskonflikter, innebär ett bristfälligt rättsskydd. Och i sådant hänseende har erinrats om en </w:t>
      </w:r>
      <w:r>
        <w:rPr>
          <w:b/>
        </w:rPr>
        <w:t>hustru²</w:t>
      </w:r>
      <w:r>
        <w:rPr>
          <w:b w:val="0"/>
        </w:rPr>
        <w:t xml:space="preserve">, som av sin man hotats med misshandel eller rent av till livet samt därför vänt sig till polismyndighet för att påkalla rättsskydd, men av denna måst avvisas med förklaring, att sådant endast kunde ernås därigenom att </w:t>
      </w:r>
      <w:r>
        <w:rPr>
          <w:b/>
        </w:rPr>
        <w:t>hustrun²</w:t>
      </w:r>
      <w:r>
        <w:rPr>
          <w:b w:val="0"/>
        </w:rPr>
        <w:t xml:space="preserve"> själv vid domstol väckte talan om ansvar.</w:t>
        <w:br/>
        <w:br/>
        <w:t xml:space="preserve">I reservationen har yttrats, att om mannen icke vore alkoholist eller sinnessjuk och av sådan anledning kunde omhändertagas av myndigheterna, </w:t>
      </w:r>
      <w:r>
        <w:rPr>
          <w:b/>
        </w:rPr>
        <w:t>hustrun²</w:t>
      </w:r>
      <w:r>
        <w:rPr>
          <w:b w:val="0"/>
        </w:rPr>
        <w:t xml:space="preserve"> knappast hade något att vinna av en angivelse till polisen, ty </w:t>
      </w:r>
      <w:r>
        <w:rPr>
          <w:b/>
        </w:rPr>
        <w:t>hon²</w:t>
      </w:r>
      <w:r>
        <w:rPr>
          <w:b w:val="0"/>
        </w:rPr>
        <w:t xml:space="preserve"> utsatte sig då tvärtom för ökad misshandel från mannens sida.</w:t>
        <w:br/>
        <w:br/>
        <w:t xml:space="preserve">Häremot vill jag erinra, att det ganska ofta inträffar, att en brutal man av obehärskat lynne i häftig uppbrusning hotar sin </w:t>
      </w:r>
      <w:r>
        <w:rPr>
          <w:b/>
        </w:rPr>
        <w:t>hustru²</w:t>
      </w:r>
      <w:r>
        <w:rPr>
          <w:b w:val="0"/>
        </w:rPr>
        <w:t xml:space="preserve"> med misshandel. Det är då enligt min mening riktigt, att det svenska rättssamhället visar, att det icke tål en dylik brutalitet. Om polisen finge ingripa mot mannen och åtala honom, skulle han kanske sedan taga sig till vara och kanske även ångra sig och bli en bättre människa.</w:t>
        <w:br/>
        <w:br/>
        <w:t>Jag vill också framhålla, att andra länders lagar icke äro så släpphänta i detta avseende som vår lag. Och då i reservationen säges, att reservanterna icke ha sig bekant att med bortseende möjligen från fall, som stå i samband med arbetskonflikter, förekommit fall, då det framstått såsom särskilt önskvärt att ifrågavarande brott, d. v. s. hot om brottslig gärning, kunnat efter angivelse åtalas av allmän åklagare, så kan jag för min del inte godkänna ett sådant uttalande. Ifrån min långvariga verksamhet i en länsstyrelse, vilken som bekant utövar högsta polismyndigheten i länet, känner jag flera sådana fall.</w:t>
        <w:br/>
        <w:br/>
        <w:t>Herr talman! Jag anhåller att få yrka bifall till utskottets hemställan.</w:t>
      </w:r>
    </w:p>
    <w:p>
      <w:pPr>
        <w:pStyle w:val="Heading2"/>
      </w:pPr>
      <w:r>
        <w:t>2. Ernst Trygger (Högerns riksdagsgrupp, man)</w:t>
      </w:r>
    </w:p>
    <w:p>
      <w:r>
        <w:rPr>
          <w:b w:val="0"/>
        </w:rPr>
        <w:t>Herr talman, endast några ord! Jag vill först påpeka, att det icke alls i denna motion, såsom ju herrarna se, är fråga om att i strafflagen införa en bestämmelse om straff för någonting, som hittills icke varit betraktat som brott. Därutinnan är allting oförändrat. Det är här allenast</w:t>
        <w:br/>
        <w:br/>
        <w:t>fråga om att ett visst brott skall kunna åtalas på ett annat sätt än vad som Om ändring i f.n. sker. Det brott, varom här är fråga, är att man »muntligen eller skrift- 18 födan 5 ligen med misshandel eller brottslig gärning» hotar annan och det sker »på | sådant sätt och under sådana omständigheter, att anledning är att befara, det hotet verkställas skall».</w:t>
        <w:br/>
        <w:br/>
        <w:t>För närvarande gäller, att endast den, mot vilken brottet har blivit begånget, kan åtala brottet. Åklagaren kan icke åtala brottet ens i fall det anges till åtal.</w:t>
        <w:br/>
        <w:br/>
        <w:t>Detta är emellertid ett ganska olämpligt stadgande. Det är inte bara på de områden, som beröra arbetskonfliktsfrågorna, utan också på flera andra områden, som denna bestämmelse har visat sig otjänlig. Har man straff i lagen för ett brott, bör man väl ordna åtalsrätten så, att icke brottet blir ostraffat. Att icke låta åklagaren åtala utan lägga hela bördan på målsäganden, det är i många fall detsamma som att befria brottslingen ifrån straff.</w:t>
        <w:br/>
        <w:br/>
        <w:t>Nu har jag och mina medundertecknare föreslagit en viss lydelse av denna 15 kap. 24 paragraf, varigenom åtalsrätten för brott enligt 23 paragrafen, d. v. s. dylikt hot, skulle kunna äga rum av åklagaren på angivelse, men dessutom utan vidare tillkomma åklagaren i händelse brottet vore begånget på en sådan plats eller under sådana omständigheter, som omtalas i 11 kap. 9 eller 15 $ strafflagen, alltså på gata, torg o. s. v.</w:t>
        <w:br/>
        <w:br/>
        <w:t>Mot detta har anförts från reservanternas sida, att vid en sådan lydelse skulle det kunna inträffa, att i fall en person använt det hot, som omtalas i 23 $ — hot om misshandel eller annan brottslig gärning — och därigenom tvungit den, mot vilken han riktade sig, att handla på ett visst sätt, så skulle han endast kunna åtalas på angivelse, men åklagaren skulle icke kunna åtala honom utan vidare. Om det hela däremot inskränkt sig till att han velat tvinga den andre genom att använda hot om misshandel eller annan brottslig gärning, men detta misslyckats, emedan den andre var så stark, att han icke gav vika, så skulle, ifall brottet hade skett t. ex. på offentlig plats, åklagaren utan vidare ha åtalsrätt. Med andra ord: när brottet var strängare, d. v. s. när han mot annan riktat samma hot och lyckats, då skulle han endast kunna åtalas, om målsägaren angav, medan däremot om han med sitt hot misslyckats, trots att han för sin del gjort allt vad han förmått i fråga om hotet, åklagaren utan vidare skulle kunna åtala.</w:t>
        <w:br/>
        <w:br/>
        <w:t>Ja, detta vore ju onekligen ett ganska tråkigt resultat. Utskottsmajoritetens resonemang har ej gått precis på denna väg, men den har sagt, att man kan vara tveksam hur saken förhåller sig. Och då återfaller ju detta på motionärerna, som borde ha tänkt närmare på denna sak innan de kommo fram med sitt förslag.</w:t>
        <w:br/>
        <w:br/>
        <w:t>Nu finnes det emellertid en paragraf i promulgationslagen till strafflagen, nämligen $ 19 mom. 2, som säger, att »innefattar en handling flera brott, och hörer någotdera under allmänt åtal; då äge ock slikt åtal för de övriga rum, ändå att de eljest därifrån undantagna äro». Grunderna för denna bestämmelse i promulgationslagen föra med nödvändighet till det resultatet, såvitt jag kan begripa, att ifall en person för att tvinga annan använt sådant hot, som i 15 kap. 23 8 omtalas, och lyckats, så skall, likaväl som då han använt detta hot men misslyckats, åklagaren utan vidare ha rättighet att åtala honom. Saken är helt enkelt den att om det här icke föreligger egentlig brottskonkurrens, så innebär situationen en lagkonkurrens, som på grund av sakens egen natur verkar på samma sätt. Följaktligen tror jag ej man skulle behövt vara orolig för att antaga den lydelse av paragrafen, som av oss var föreslagen. Men eftersom utskottet icke har gjort detta, utan i stället stannat vid beslut om en skrivelse, skall jag inte göra något yrkande om bifall till motionen, utan jag yrkar, herr talman, bifall till utskottets hemställan.</w:t>
      </w:r>
    </w:p>
    <w:p>
      <w:pPr>
        <w:pStyle w:val="Heading2"/>
      </w:pPr>
      <w:r>
        <w:t>3. Assar Åkerman (Socialdemokraterna, man)</w:t>
      </w:r>
    </w:p>
    <w:p>
      <w:r>
        <w:rPr>
          <w:b w:val="0"/>
        </w:rPr>
        <w:t>Ja, herr talman, nu äro vi där igen! Det lyckades mig inte att avvärja en diskussion, fastän herrarna antagligen äro mycket trötta, och nu får också jag upp och säga några ord, det kan inte hjälpas. Men jag vill erinra att jag gjort mitt bästa för att hindra att herrarna bli uttråkade. Det har i ett föregående ärende talats om att det varit någon slags akademisk kurs här i dag, som räckt från klockan 11 till 4. Nu tycks det bli ett straffrättskollegium, och det är sannerligen ganska besvärligt det också.</w:t>
        <w:br/>
        <w:br/>
        <w:t>Jag vill till att börja med erinra om, att vi i utskottet stodo åtta mot åtta. Det är lotten, som avgjort, vad utskottets utlåtande kommit att innehålla. Jag kan ju säga, att vänstern har haft en smula otur i första lagutskottet, ty lotten har gått oss emot vid åtskilliga tillfällen. Men det tycks ju gå bra för oss i kamrarna i alla fall, och jag hoppas, att det skall gå bra även i denna fråga!</w:t>
        <w:br/>
        <w:br/>
        <w:t>Vad frågan överhuvud taget om partiella reformer i strafflagen beträffar har jag förut haft tillfälle att i kammaren nämna, att jag icke tycker om några sådana. Vad som skall göras bör om möjligt göras i ett sammanhang i samband med den stora strafflagsreform, som stundar. Naturligtvis får man ju ibland taga till en partiell reform, men då skall det föreligga mycket trängande behov därav, och det kan jag inte finna här vara fallet.</w:t>
        <w:br/>
        <w:br/>
        <w:t>Vidare vill jag fästa uppmärksamheten på, att år 1928 hade professor Thyrén själv dessa paragrafer uppe till behandling i ett annat sammanhang, men då gjorde han inte någon som helst ansats till att ändra strafflagen i det syfte, som nu föreslås. Ehuru samma paragrafer då voro före, ansåg han icke att det förelåg några brister beträffande åtalsrätten i fråga om hot enligt 23 paragrafen. Jag tycker, att det är en ganska viktig omständighet, att den man, som står i förgrunden när det gäller strafflagsreformen i detta land, har saken uppe och låter det bero vid paragrafens nuvarande lydelse. Jag för min del åtminstone kan inte annat än fästa den största vikt vid denna omständighet.</w:t>
        <w:br/>
        <w:br/>
        <w:t>Herr Trygger förklarade här, att inför man en bestämmelse i strafflagen om att det ena eller det andra skall straffas, men icke arrangerar åtalsrätten så, att åklagaren får ingripa, är detta detsamma som att i realiteten strafffrihet inträder. Ja, men då är det en hel rad av brott i vår svenska strafflag, som träffas av den fördömelse, som herr Trygger nu framfört. Varför då inte ta upp dem alla till skärskådande likaväl som just den nu ifrågavarande paragrafen? Jag kan inte finna det vara riktigt att gå fram på ett så ensidigt sätt.</w:t>
        <w:br/>
        <w:br/>
        <w:t>Att vår svenska strafflag intar en särställning i det avseendet bl, a. att en del brott äro endast målsägandebrott, finner jag för min del vara ett ganska sympatiskt vittnesbörd om en äldre tids uppfattning, att man inte skall ränna till polisen med allting. Det är bra och praktiskt i många fall, och det hindrar en hel del okynnesaffärers dragande inför våra domstolar, som helt säkert skulle komma till stånd, om en var hade rätt lämna till polisen allt möjligt skräp.</w:t>
        <w:br/>
        <w:br/>
        <w:t xml:space="preserve">Nu vill jag ingalunda till skräp räkna det fall, som greve Spens här talade om, nämligen den olyckliga </w:t>
      </w:r>
      <w:r>
        <w:rPr>
          <w:b/>
        </w:rPr>
        <w:t>hustrun²</w:t>
      </w:r>
      <w:r>
        <w:rPr>
          <w:b w:val="0"/>
        </w:rPr>
        <w:t xml:space="preserve">, som är förföljd av sin man, som Jämt och ständigt vill klå </w:t>
      </w:r>
      <w:r>
        <w:rPr>
          <w:b/>
        </w:rPr>
        <w:t>henne²</w:t>
      </w:r>
      <w:r>
        <w:rPr>
          <w:b w:val="0"/>
        </w:rPr>
        <w:t xml:space="preserve">. Men jag frågar herrarna: Tro ni verkligen att den damen skulle få det trevligare, om </w:t>
      </w:r>
      <w:r>
        <w:rPr>
          <w:b/>
        </w:rPr>
        <w:t>hon²</w:t>
      </w:r>
      <w:r>
        <w:rPr>
          <w:b w:val="0"/>
        </w:rPr>
        <w:t xml:space="preserve"> gick till polisen och angav sin man, så att denne blev kallad till polisen, som sedan också skulle ställa makarna inför domstol? "Tro ni verkligen, att </w:t>
      </w:r>
      <w:r>
        <w:rPr>
          <w:b/>
        </w:rPr>
        <w:t>hon²</w:t>
      </w:r>
      <w:r>
        <w:rPr>
          <w:b w:val="0"/>
        </w:rPr>
        <w:t xml:space="preserve"> därigenom finge något skydd? Då först skulle väl mannen verkligen klå </w:t>
      </w:r>
      <w:r>
        <w:rPr>
          <w:b/>
        </w:rPr>
        <w:t>henne²</w:t>
      </w:r>
      <w:r>
        <w:rPr>
          <w:b w:val="0"/>
        </w:rPr>
        <w:t>, om han inte gjort det förut.</w:t>
        <w:br/>
        <w:br/>
        <w:t>Jag tror inte, att det är något bra sätt att stifta frid i äktenskapen och att uppfostra några goda äkta män, som greve Spens tycktes mena, att använda sådana här medel. De herrar, som klå sina fruar, äro allesammans suputer</w:t>
        <w:br/>
        <w:br/>
        <w:t>eller också äro de sinnessvaga, och med dem kommer man till rätta utan några Om ändring i strafflagsändringar. allen $ Nej, detta exempel med den stackars frun, som spelas ut i motionen, kan Hyder " jag för min del inte tillmäta någon betydelse. Herrarna ha tänkt på någon- == ting annat, när ni skrevo motionen. Det är blockader och bojkotter, som föresvävat er här, liksom i de nyss behandlade motionerna, fastän ni ha haft en liten ridåöppning med den här stackars frun. Det förstår man alltför väl. I själva verket är situationen inte alls så farlig som herrarna tro beträffande de historier av detta slag, som då och då kunna förekomma på gatorna, och som nu skulle läggas under allmänt åtal. Därest hot om misshandel och dylikt sker på öppen plats på ett busaktigt sätt, som naturligtvis i de flesta fall blir förhållandet, så faller det under förargelseväckande beteende, och då har åklagaren utan vidare rätt att åtala för förargelseväckande beteende. Och då behövs inte heller den här föreslagna lagändringen. Vad slutligen beträffar det redan pågående utredningsarbetet vill också jag säga, att jag tycker att professor Bergendal i Lund gärna kan få arbeta i fred. Jag yrkar, herr talman, bifall till reservationen.</w:t>
      </w:r>
    </w:p>
    <w:p>
      <w:pPr>
        <w:pStyle w:val="Heading2"/>
      </w:pPr>
      <w:r>
        <w:t>4. Ernst Trygger (Högerns riksdagsgrupp, man)</w:t>
      </w:r>
    </w:p>
    <w:p>
      <w:r>
        <w:rPr>
          <w:b w:val="0"/>
        </w:rPr>
        <w:t>Jag skall be att få rätta ett yttrande av den siste ärade talaren, då han ville göra gällande, att jag skulle ha sagt, att ifall man läte målsäganden vara den ende, som hade åtalsrätt, vore det detsamma som att införa straffrihet. Det har jag aldrig sagt, något så orimligt kan jag aldrig ha sagt. Vi ha ju, det vet varenda människa, åtskilliga brott, där målsäganden ensam har åtalsrätt, och där det också är mycket lämpligt, att han är ensam. Jag påpekade emellertid, att vid just dessa brott, som bestå i hot om misshandel eller annan brottslig gärning, är det mycket olämpligt att låta målsäganden vara den enda, som kan rycka fram. Därför bör man hjälpa honom genom att han skall kunna angiva hos åklagaren, ifall man icke vill giva åklagaren åtminstone i vissa fall åtalsrätt utan vidare.</w:t>
        <w:br/>
        <w:br/>
        <w:t xml:space="preserve">Sedermera gjorde den siste ärade talaren gällande, att exemplet om </w:t>
      </w:r>
      <w:r>
        <w:rPr>
          <w:b/>
        </w:rPr>
        <w:t>hustrun²</w:t>
      </w:r>
      <w:r>
        <w:rPr>
          <w:b w:val="0"/>
        </w:rPr>
        <w:t xml:space="preserve">, som hotats med misshandel av mannen, var någonting, som man blott tog med, men att det viktigaste var, att man ville komma åt sådana, som vid arbetskonflikter begagna sig av sådant hot. Det är alldeles misstag. Naturligtvis vill man komma åt också dessa. Det är alldeles tydligt och det framgår ju av motionens lydelse, att man vill komma åt dem. Men genom detta exempel med </w:t>
      </w:r>
      <w:r>
        <w:rPr>
          <w:b/>
        </w:rPr>
        <w:t>kvinnan¹</w:t>
      </w:r>
      <w:r>
        <w:rPr>
          <w:b w:val="0"/>
        </w:rPr>
        <w:t xml:space="preserve"> ville man emellertid visa, att även på andra mycket viktiga områden är bestämmelsen om åtalsrätt blott för målsäganden för närvarande olämplig.</w:t>
        <w:br/>
        <w:br/>
        <w:t xml:space="preserve">Men jag förstår verkligen ej lagutskottets ärade ordförande, då han gjorde gällande, att man i själva verket, i fall man gav </w:t>
      </w:r>
      <w:r>
        <w:rPr>
          <w:b/>
        </w:rPr>
        <w:t>kvinnan¹</w:t>
      </w:r>
      <w:r>
        <w:rPr>
          <w:b w:val="0"/>
        </w:rPr>
        <w:t xml:space="preserve"> rätten att genom angivelse hos åklagaren tvinga denne att åtala, gjorde </w:t>
      </w:r>
      <w:r>
        <w:rPr>
          <w:b/>
        </w:rPr>
        <w:t>henne²</w:t>
      </w:r>
      <w:r>
        <w:rPr>
          <w:b w:val="0"/>
        </w:rPr>
        <w:t xml:space="preserve"> en mycket värre skada än om man icke gav </w:t>
      </w:r>
      <w:r>
        <w:rPr>
          <w:b/>
        </w:rPr>
        <w:t>henne²</w:t>
      </w:r>
      <w:r>
        <w:rPr>
          <w:b w:val="0"/>
        </w:rPr>
        <w:t xml:space="preserve"> denna rätt. </w:t>
      </w:r>
      <w:r>
        <w:rPr>
          <w:b/>
        </w:rPr>
        <w:t>Hon²</w:t>
      </w:r>
      <w:r>
        <w:rPr>
          <w:b w:val="0"/>
        </w:rPr>
        <w:t xml:space="preserve"> skulle nämligen få så mycket otrevligare hemma genom att </w:t>
      </w:r>
      <w:r>
        <w:rPr>
          <w:b/>
        </w:rPr>
        <w:t>hon²</w:t>
      </w:r>
      <w:r>
        <w:rPr>
          <w:b w:val="0"/>
        </w:rPr>
        <w:t xml:space="preserve"> vidtog en sådan åtgärd. Då frågar jag verkligen lagutskottets ärade ordförande: »Får </w:t>
      </w:r>
      <w:r>
        <w:rPr>
          <w:b/>
        </w:rPr>
        <w:t>hon²</w:t>
      </w:r>
      <w:r>
        <w:rPr>
          <w:b w:val="0"/>
        </w:rPr>
        <w:t xml:space="preserve"> icke otrevligare hemma, om </w:t>
      </w:r>
      <w:r>
        <w:rPr>
          <w:b/>
        </w:rPr>
        <w:t>hon²</w:t>
      </w:r>
      <w:r>
        <w:rPr>
          <w:b w:val="0"/>
        </w:rPr>
        <w:t xml:space="preserve"> åtalar själv? Varför taga ni då inte ifrån </w:t>
      </w:r>
      <w:r>
        <w:rPr>
          <w:b/>
        </w:rPr>
        <w:t>henne²</w:t>
      </w:r>
      <w:r>
        <w:rPr>
          <w:b w:val="0"/>
        </w:rPr>
        <w:t xml:space="preserve"> åtalsrätten och gör hotet mot </w:t>
      </w:r>
      <w:r>
        <w:rPr>
          <w:b/>
        </w:rPr>
        <w:t>henne²</w:t>
      </w:r>
      <w:r>
        <w:rPr>
          <w:b w:val="0"/>
        </w:rPr>
        <w:t xml:space="preserve"> straffritt? Det tycker jag, vore konsekvent.» När jag läste utskottets motivering, tänkte jag, att det här ha de skrivit i hast och det skall man ej göra anmärkning på. Det är ju så — — — ja, man får vara försiktig och icke säga för mycket, man ser så lätt grandet i sin broders öga. Jag tänkte därför, att här skall man vara tyst, ty pennan har gått utan att tanken har följt med. Men när lagutskottets ordförande kommer fram med nämnda argumentation på nytt igen, måste jag verkligen protestera. Herregud, säg ifrån till </w:t>
      </w:r>
      <w:r>
        <w:rPr>
          <w:b/>
        </w:rPr>
        <w:t>hustrun²</w:t>
      </w:r>
      <w:r>
        <w:rPr>
          <w:b w:val="0"/>
        </w:rPr>
        <w:t xml:space="preserve">, att </w:t>
      </w:r>
      <w:r>
        <w:rPr>
          <w:b/>
        </w:rPr>
        <w:t>hon²</w:t>
      </w:r>
      <w:r>
        <w:rPr>
          <w:b w:val="0"/>
        </w:rPr>
        <w:t xml:space="preserve"> bör alltid, om mannen hotar </w:t>
      </w:r>
      <w:r>
        <w:rPr>
          <w:b/>
        </w:rPr>
        <w:t>henne²</w:t>
      </w:r>
      <w:r>
        <w:rPr>
          <w:b w:val="0"/>
        </w:rPr>
        <w:t xml:space="preserve"> med det ena eller det andra, ja till livet, vara lugn och ej röra på sig, ty då riskerar </w:t>
      </w:r>
      <w:r>
        <w:rPr>
          <w:b/>
        </w:rPr>
        <w:t>hon²</w:t>
      </w:r>
      <w:r>
        <w:rPr>
          <w:b w:val="0"/>
        </w:rPr>
        <w:t xml:space="preserve"> något ändå värre!</w:t>
        <w:br/>
        <w:br/>
        <w:t>Jag vill till sist säga, att för mig äro dessa brott, där man hotar med misshandel eller annan brottslig gärning, bland de otrevligaste, som nästan finnas. Det skapar ofta hos omgivningen en verklig skräck. Jag vet icke, om herrarna känna till det, men Jag själv vet åtskilliga fall, då sådana, som gå och hota med brottsliga gärningar inom en krets, åstadkomma en förfärligt obehaglig situation. Ofta är det bara skryt eller oförskämdhet utan någon avsikt, men den, mot vilken hotet riktas, kan mycket väl få anledning tro, att hotet verkligen skall realiseras.</w:t>
        <w:br/>
        <w:br/>
        <w:t>Sådant här får man inte handskas med för lättvindigt. Tvingas icke våra åklagare hålla på med sämre saker, d. v. s. behöva de icke använda sin tid sämre än till att åtala ifrågavarande brott, tycker jag icke, att det är farligt. Åtal skall ju utan vidare ske, om någon åker för fort och om det förts oljud på allmän plats etc., etc. Då behöver man ej vara så rädd om åklagarnas tid, att de inte skulle kunna åtala ett brott, som är så störande som hot enligt 15 kap. 235.</w:t>
        <w:br/>
        <w:br/>
        <w:t>Sienel add ber jag få vidhålla mitt yrkande om bifall till utskottets ståndpunkt.</w:t>
      </w:r>
    </w:p>
    <w:p>
      <w:pPr>
        <w:pStyle w:val="Heading2"/>
      </w:pPr>
      <w:r>
        <w:t>5. Assar Åkerman (Socialdemokraterna, man)</w:t>
      </w:r>
    </w:p>
    <w:p>
      <w:r>
        <w:rPr>
          <w:b w:val="0"/>
        </w:rPr>
        <w:t>Herr talman! Det var ju på så sätt bra, att herr Trygger talade en gång till, att jag därigenom också fick komma upp en gång till. Jag glömde nämligen i "mitt första anförande bort att bemöta en sak, som jag anser inte bör stå obesvarad från min sida.</w:t>
        <w:br/>
        <w:br/>
        <w:t>Det var den där mycket lärda frågan, huruvida man i det här fallet skulle kunna tillämpa strafflagens promulgationsbestämmelse, att om en handling innefattar flera brott och ett lyder under allmänt åtal, skola alla dessa lyda under allmänt åtal. Nu vill herr Trygger göra gällande, att det fullbordade brottet alltid i och för sig inbegriper ett försök och därmed skulle man vara ifrån alla svårigheter. Jag tror, att det är en något djärv tolkning av strafflagens doktriner, men även om herr Trygger skulle ha rätt, anser jag det i alla fall vara 1 hög grad stridande mot all riktig lagteknik att skriva så, att man inför en särskild bestämmelse om åtalsrätt med försök i detta sammanhang. Det går inte rent formellt. Men, för allt i världen, jag har inte på något sätt velat klandra herr Trygger för det här lilla felet, ty det vill jag i alla fall kalla det för; jag kan icke finna på ett bättre ord. Herr Trygger trodde om oss, att pennan inte hade följt tanken, och det det var vi som hade gjort oss skyldiga till något, som vi kunna kalla en »laggroda». Det kan ju hända den bäste. Till och med Homerus själv slumrade ibland. Jag vill inte på något sätt klandra herr Trygger. Det är inte så lätt att författa lagparagrafer, och ett missöde kan mycket lätt hända även den lärdaste och mest intelligenta människa, då han sätter sig ner och skriver en lag. Det är emellertid galet nu, som det står i den av motionärerna föreslagna lagtexten och det går icke att försvara. Det var bra, att jag fick tillfälle att säga detta.</w:t>
        <w:br/>
        <w:br/>
        <w:t xml:space="preserve">Det andra, som herr Trygger sade, skall jag inte ytterligare inlåta mig på. Men jag säger ännu en gång, att för den sortens karlar, som det här talats om, finns det alkoholistlagar och vagabonderiförfattningar. De skola tagas i hampan genast och ledas ut ur hemmet. Annars slå de kanske ihjäl </w:t>
      </w:r>
      <w:r>
        <w:rPr>
          <w:b/>
        </w:rPr>
        <w:t>hustrun²</w:t>
      </w:r>
      <w:r>
        <w:rPr>
          <w:b w:val="0"/>
        </w:rPr>
        <w:t>, om de bara få ett par dagar på sig. Det duger inte att göra domstolsprocess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