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675</w:t>
      </w:r>
    </w:p>
    <w:p>
      <w:r>
        <w:rPr>
          <w:b/>
        </w:rPr>
        <w:t xml:space="preserve">Datum: </w:t>
      </w:r>
      <w:r>
        <w:t>1931-05-16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 xml:space="preserve">Herr talman! Jag skall inte hålla så lång predikan den här gången. Det gäller ju här 6 $. Denna handlar om tomtindelning på ny mark, </w:t>
      </w:r>
      <w:r>
        <w:rPr>
          <w:b/>
        </w:rPr>
        <w:t>jungfrulig²</w:t>
      </w:r>
      <w:r>
        <w:rPr>
          <w:b w:val="0"/>
        </w:rPr>
        <w:t xml:space="preserve"> mark, och enligt paragrafen skall sådan få ske, när »ägare av mark» sådant begär. Vi äro några reservanter, som ha tagit upp de sakkunnigas förslag och sålunda vilja, att tomtindelning skall få äga rum, även när byggnadsnämnden så finner nödigt. Byggnadsnämnden är ju den myndighet, som alldeles särskilt har både förståelse för och intresse av en god bebyggelse inom staden, och vi anse därför, att det är i sin ordning, att också den bör ha rätt att väcka fråga om tomtindelning av ett byggnadskvarter. Nu vet jag visserligen, att en av denna kammares framstående rättslärde anser, att en sådan befogenhet tillkommer byggnadsnämnden ändå, även om det inte står tydligt uttryckt i paragrafen, men jag för min del kan inte annat än tycka, att de sakkunniga ha rätt i sin hemställan, att det bör tydligt utsägas 1 paragrafen.</w:t>
        <w:br/>
        <w:br/>
        <w:t xml:space="preserve">En sak till skulle jag kanske kunna få påpeka. Nästa paragraf, den sjunde, som handlar om ändring i en befintlig stadsplan, innehåller, att ny tomtindelning på byggnadsnämndens föranstaltande skall äga rum på sådan mark, för vilken det förut finnes stadsplan, men där man åsyftar en ändring i denna. 7 8 ger alltså byggnadsnämnden tydligt denna rättighet att ingripa; 6 $, som handlar om stadsplan på ny, </w:t>
      </w:r>
      <w:r>
        <w:rPr>
          <w:b/>
        </w:rPr>
        <w:t>jungfrulig²</w:t>
      </w:r>
      <w:r>
        <w:rPr>
          <w:b w:val="0"/>
        </w:rPr>
        <w:t xml:space="preserve"> mark, utsäger inte tydligt den rättigheten.</w:t>
        <w:br/>
        <w:br/>
        <w:t>Jag skall därför, herr talman, be att få yrka, att till denna paragraf måtte fogas ett tillägg »eller byggnadsnämnden så finner nödigt», i enlighet med reservationen.</w:t>
      </w:r>
    </w:p>
    <w:p>
      <w:pPr>
        <w:pStyle w:val="Heading2"/>
      </w:pPr>
      <w:r>
        <w:t>2. Assar Åkerman (Socialdemokraterna, man)</w:t>
      </w:r>
    </w:p>
    <w:p>
      <w:r>
        <w:rPr>
          <w:b w:val="0"/>
        </w:rPr>
        <w:t>Herr talman! Jag ber att få yrka, att paragrafen godkännes i den föreslagna lydelsen. Det av herr Klefbeck framlagda ändrings-</w:t>
        <w:br/>
        <w:br/>
        <w:t>förslaget anser jag vara utan någon praktisk betydelse, därför att det tjänar rakt ingenting till att byggnadsnämnden föranstaltar om tomtindelning, innan det är fråga om att bygga. Herr Klefbeck nämnde, att en framstående rättslärd här i kammaren har den meningen, att byggnadsnämnden i alla fall, även om det inte står i lagen, har den befogenheten. Jag törs inte inlåta mig på den tvistefrågan, men jag anser, att det finns intet praktiskt skäl, som talar för den av herr Klefbeck föreslagna ändringen, och därför yrkar jag godkännande av utskottets förslag.</w:t>
      </w:r>
    </w:p>
    <w:p>
      <w:pPr>
        <w:pStyle w:val="Heading2"/>
      </w:pPr>
      <w:r>
        <w:t>3. Carl Axel Reuterskiöld (Utan partibeteckning, man)</w:t>
      </w:r>
    </w:p>
    <w:p>
      <w:r>
        <w:rPr>
          <w:b w:val="0"/>
        </w:rPr>
        <w:t xml:space="preserve">Herr talman! Jag skall även be att få yrka bifall till utskottets förslag men med en helt annan motivering. Efter min uppfattning förhåller det sig så, att byggnadsnämnden redan nu har och enligt lagförslaget kommer att ha den rätt, som reservanten vill giva den genom ett tillägg i paragrafen. Byggnadsnämnden har enligt min uppfattning denna rätt på grund av sin allmänna offentligrättsliga skyldighet att övervaka stadens bebyggande och handlägga tomtindelningsfrågor. Den behöver inte stadgas 1 lagen. TI lagen behöver däremot stadgande ges för sådana fall, då en sådan rätt skall tillkomma enskild eller då byggnadsnämnden, sedan den en gång begagnat sin rätt i fråga om s. k. </w:t>
      </w:r>
      <w:r>
        <w:rPr>
          <w:b/>
        </w:rPr>
        <w:t>jungfrulig²</w:t>
      </w:r>
      <w:r>
        <w:rPr>
          <w:b w:val="0"/>
        </w:rPr>
        <w:t xml:space="preserve"> mark, därefter vill få ändring i beslutad indelning; och detta finnes också i lagen stadgat.</w:t>
        <w:br/>
        <w:br/>
        <w:t>Under sådana förhållanden synes mig ett införande i denna punkt av en sådan rätt för byggnadsnämnden inte blott vara onödigt utan även stridande mot hela den ställning, som byggnadsnämnden överhuvud taget intar. Det är alltså, emedan byggnadsnämnden redan har och enligt min mening kommer att bibehålla denna rätt, som jag ber att få yrka bifall till utskottets förslag, ehuru jag inte kan gilla motiveringen.</w:t>
      </w:r>
    </w:p>
    <w:p>
      <w:pPr>
        <w:pStyle w:val="Heading2"/>
      </w:pPr>
      <w:r>
        <w:t>4. Georg Bissmark (Första kammarens nationella parti, man)</w:t>
      </w:r>
    </w:p>
    <w:p>
      <w:r>
        <w:rPr>
          <w:b w:val="0"/>
        </w:rPr>
        <w:t>Den tolkning, som herr Reuterskiöld har givit av paragrafen, förefaller mig att vara orimlig, särskilt om man tar hänsyn till 7 8, där det uttryckligen säges: »Förutsätter fastställd ändring i stadsplan ändring 1 tomtindelning eller har kvarter helt och hållet eller till betydande del avbrunnit, skall fråga om ny tomtindelning företagas, när ägare av mark inom kvarteret det begär eller byggnadsnämnden så finner nödigt.» Där är ju sagt, att i detta speciella fall har byggnadsnämnden rätt att verkställa tomtindelning, och då är det väl omöjligt att tolka 6 $ på det sätt, som herr Reuterskiöld gör. Anledningen till, att inte i förslaget upptagits rätt för byggnadsnämnden att begära tomtindelning, är den, att det är ytterligt opraktiskt att göra en tomtindelning, innan frågan om kvarterets bebyggande är aktuell. Först skola dessa tomter bildas och införas i stadens tomtlängd och i fastighetsböckerna, sedan kommer det en ändring, och då skall allt detta göras om, utan att man kan se, att det varit den ringaste nytta därmed. Jag förstår inte, vad det är för nytta med att ha tomtindelning på ett kvarter, som inte är bebyggt. Varför inte låta därmed anstå, tills det blir fråga om att bebygga kvarteret, så att man får se, vad sorts byggnader som vid den tiden bäst lämpa sig för kvarteret?</w:t>
        <w:br/>
        <w:br/>
        <w:t>Jag yrkar bifall till förslaget i den form, vari det framlagts i Kungl. Maj:ts proposition.</w:t>
      </w:r>
    </w:p>
    <w:p>
      <w:pPr>
        <w:pStyle w:val="Heading2"/>
      </w:pPr>
      <w:r>
        <w:t>5. Carl Axel Reuterskiöld (Utan partibeteckning, man)</w:t>
      </w:r>
    </w:p>
    <w:p>
      <w:r>
        <w:rPr>
          <w:b w:val="0"/>
        </w:rPr>
        <w:t>Den omständigheten, att byggnadsnämnden har rätt och kommer att behålla rätt att göra sådan tomtindelning på »</w:t>
      </w:r>
      <w:r>
        <w:rPr>
          <w:b/>
        </w:rPr>
        <w:t>jungfrulig²</w:t>
      </w:r>
      <w:r>
        <w:rPr>
          <w:b w:val="0"/>
        </w:rPr>
        <w:t xml:space="preserve"> mark», som reservanten yttrade, innebär naturligtvis icke skyldighet för nämnden att i oträngt mål göra det. Jag förutsätter, att byggnadsnämnden, såsom i regel är fallet, har gott förstånd, och då kommer den inte heller att onö-</w:t>
        <w:br/>
        <w:br/>
        <w:t>digtvis begagna denna sin rätt. Men att sätta in en sådan bestämmelse i lagen på denna punkt vore att undergräva själva grundvalen för byggnadsnämndens allmänna ställning såsom ledande och kontrollerande myndighet. När den siste ärade talaren säger, att då det finns en sådan bestämmelse i 7 $, frånvaron därav i 6 $ måste betyda avsaknad av rätt i där berörda fall, så har jag redan erinrat därom, att en sådan tolkning är felaktig, ity att det i 7 $ gäller en situation, då tomtindelning redan har skett, och genom tomtindelningen har uppstått en enskild rätt, som byggnadsnämnden inte har befogenhet att ändra, om detta ej uttryckligen stadgas. Därför är det skillnad mellan de två fallen och den grund, som finnes för byggnadsnämndens rätt enligt 6 $ eller med hänsyn till de fall, som omförmälas i byggnadsstadgan beträffande byggnadsnämndens ställning och uppgifter. Det är byggnadsstadgan, som utgör grundvalen för nämndens verksamhet.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