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1910</w:t>
      </w:r>
    </w:p>
    <w:p>
      <w:r>
        <w:rPr>
          <w:b/>
        </w:rPr>
        <w:t xml:space="preserve">Datum: </w:t>
      </w:r>
      <w:r>
        <w:t>1931-05-18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Otto Holmdahl (Lantmanna- och borgarepartiet inom andrakammaren, man)</w:t>
      </w:r>
    </w:p>
    <w:p>
      <w:r>
        <w:rPr>
          <w:b w:val="0"/>
        </w:rPr>
        <w:t>Herr förste vice talman! Jag tillåter mig i största korthet få påpeka några omständigheter, som synas mig tala för ett bifall till den första av de vid detta utlåtande fogade reservationerna.</w:t>
        <w:br/>
        <w:br/>
        <w:t>Bland de personer, vilka i här föreliggande utskottsförslag, och även i enlighet med den kungliga propositionen, skulle komma i åtnjutande av livräntor, är det två, som alldeles givet intaga en särställning. Herr statsrådet och chefen för finansdepartementet påpekar — det är återgivet på sidan 3 i utskottets utlåtande: »Vad då först angår den av Johanna Adolphina Wimmercranz och Sylvia Justina Bergquist gjorda ansökningen finner jag med hänsyn till vad 1 ärendet upplysts rörande deras ekonomiska förhållanden rimligt, att de, som efter äldre lag skulle varit Erik Svedboms närmaste arvingar och under de senare åren av hans liv av hans förmögenhet uppburit visst årligt underhåll — — —». Den omständighet, som gör, att dessa båda nämnda personer intaga en särställning, är alltså helt enkelt den, att dessa båda skulle, om icke arvslagen kommit till, inträtt som arvingar till den svedbomska förmögenheten. Denna lagstiftning har alltså väsentligt förändrat dessa bådas ekonomiska läge. Jag kan icke finna annat, än att detta egenartade förhållande gör, att billighetsskäl starkt tala för att man icke allt för knappt avväger deras livränta.</w:t>
        <w:br/>
        <w:br/>
        <w:t>Nu förhåller det sig så, att här föreligga två förslag i detta avseende. Å ena sidan utskottets förslag, som innebär, att den ena av dessa skulle få en livränta av 1,200 kronor och den andra 1,800 kronor, samt å andra sidan reservanterna med herr Kvarnzelius i spetsen, som föreslå åt den första 1,800 kronor åt den andra 2,400 kronor. Den omständigheten att här är fråga om Erik Svedboms närmaste arvingar synes mig kraftigt tala för att kammaren här biträder det av dessa reservanter gjorda yrkandet om ett något förhöjt livräntebelopp till dessa båda personer.</w:t>
        <w:br/>
        <w:br/>
        <w:t>Herr talman! Jag skall med denna korta motivering be att få yrka bifall till den av herr Kvarnzelius m. fl. avgivna reservationen.</w:t>
        <w:br/>
        <w:br/>
        <w:t xml:space="preserve">I detta anförande instämde herr Lilliecreutz, </w:t>
      </w:r>
      <w:r>
        <w:rPr>
          <w:b/>
        </w:rPr>
        <w:t>fröken²</w:t>
      </w:r>
      <w:r>
        <w:rPr>
          <w:b w:val="0"/>
        </w:rPr>
        <w:t xml:space="preserve"> Wellin samt herrar Forssell, Nygren, Hedlund i Häste och Nilsson i Antnäs.</w:t>
      </w:r>
    </w:p>
    <w:p>
      <w:pPr>
        <w:pStyle w:val="Heading2"/>
      </w:pPr>
      <w:r>
        <w:t>2. Felix Hamrin (Folkpartiet, man)</w:t>
      </w:r>
    </w:p>
    <w:p>
      <w:r>
        <w:rPr>
          <w:b w:val="0"/>
        </w:rPr>
        <w:t>Herr talman! Med anledning av herr Holmdahls yttrande och yrkande vill jag endast nämna, att då denna fråga behandlades i departementet, så stannade jag vid de föreslagna beloppen på grund av att det är just dessa legat, som under de sista åren utgått under Svedboms livstid till här nämnda personer. Jag må gärna tillägga, att jag icke har någon anledning att resa motstånd emot det yrkande, som här framställts. Jag har endast velat omnämna vad som vid min behandling av ärendet varit utgångspunkten för fastställande av beloppen.</w:t>
        <w:br/>
        <w:br/>
        <w:t>Jag kan ju också, då jag i alla fall tagit ordet, säga, att den fråga, som här för övrigt diskuterats, har jag icke haft någon anledning att taga ståndpunkt till, då jag gått in för avslag på framställningarna om att en större eller mindre del av förmögenheten skulle tillfalla någon eller några av de institutioner, som i utskottsutlåtandet omnämnas. Den frågan får väl knäckas i ett annat sammanhang. Hade det i det föreliggande fallet varit så, att jag hade haft för avsikt att tillstyrka Kungl. Maj:t att framlägga proposition i den riktning, som här motionsvis framförts, så är det klart, att då hade den frågan blivit föremål för en mera ingående prövning. Det har varit helt andra skäl, såsom framgår av propositionen, som gjort, att jag ansett mig icke kunna tillstyrka en proposition i den riktningen.</w:t>
        <w:br/>
        <w:br/>
        <w:t>Men jag skall, herr talman, be att få tillägga ett par ord rörande en passus i statsutskottets motivering. Jag gör det därför att jag tycker, att den saken</w:t>
        <w:br/>
        <w:br/>
        <w:t>gärna må bliva nämnd här i samband med denna fråga, då den kan hava betydelse för framtiden. Statsutskottet säger på sidan 7, att »utskottet icke finner sådana skäl föreligga, att ett frångående av gällande lagbestämmelser må äga rum». Det förefaller mig, som om statsutskottet skulle mena, att Kungl. Maj:t och riksdagen skulle kunnat, om det hade förelegat tillräckliga skäl, frångå gällande lag utan att upphäva eller ändra lagen. Jag är ingen jurist, och jag skall icke diskutera den saken med herrarna, men då det gäller en lag som den här föreliggande, så ifrågasätter jag, om det är riktigt av statsutskottet att säga detta, att Kungl. Maj:t och riksdagen, utan att ändra lagen, vid ett visst tillfälle skulle kunna suspendera en lag, som är antagen av Kungl. Maj:t och riksdagen.</w:t>
        <w:br/>
        <w:br/>
        <w:t>Jag gör intet uttalande i frågan, men jag har velat diktera detta till protokollet, för den händelse en sådan sak kommer fram, så att man observerar det och närmare tänker på saken, innan man skriver såsom nu skett från statsutskottets sida. |</w:t>
      </w:r>
    </w:p>
    <w:p>
      <w:pPr>
        <w:pStyle w:val="Heading2"/>
      </w:pPr>
      <w:r>
        <w:t>3. Robert Jansson (Socialdemokraterna, man)</w:t>
      </w:r>
    </w:p>
    <w:p>
      <w:r>
        <w:rPr>
          <w:b w:val="0"/>
        </w:rPr>
        <w:t>Herr talman! Det intryck, som departementschefen fått av vad utskottet i slutet av sitt utlåtande säger rörande ett frångående av lagstiftningens bestämmelser, är mycket oriktigt, för så vida han vill hänföra detta uttalande till tvisten om, huruvida bestämmelserna skola gälla även juridisk person. Såvitt jag förstår har den, som skrivit denna passus, med detta uttryck endast velat ge till känna, att de bestämmelser, som i lagen äro fastställda angående det ändamål, som arvsfonden har att fylla, icke möjliggöra anslående av medel från fonden till de föreslagna institutionerna. Men det finns vissa motionärer, som velat göra gällande, att konserthusstiftelsens verksamhet skulle kunna anses fylla de krav, som lagens bestämmelser angiva, d. v. s. att verksamheten skulle avse barns och ungdoms fostran. Det är nog närmaste anledningen för att detta uttryck kommit dit, och jag försäkrar herr statsrådet, att varken statsutskottets tredje avdelning eller statsutskottet skulle vilja vara med om att tillstyrka riksdagen att antaga ett förslag, som strider emot gällande lag. Det är klart, att då får man först ändra lagen och sedan se till vad som kan göras.</w:t>
        <w:br/>
        <w:br/>
        <w:t xml:space="preserve">Vad sedan herr Holmdahls yrkande angår, vill jag säga, att naturligtvis kan man gå med på en högre summa till vardera. Men vad finns det för skäl därtill? Kunna herrarna påvisa, att det finns det ringaste skäl för att bevilja en högre summa än den av Kungl. Maj:t föreslagna? Det är starka skäl för att bevilja just de summorna, alldenstund de utgått hela tiden. Men den </w:t>
      </w:r>
      <w:r>
        <w:rPr>
          <w:b/>
        </w:rPr>
        <w:t>kvinna¹</w:t>
      </w:r>
      <w:r>
        <w:rPr>
          <w:b w:val="0"/>
        </w:rPr>
        <w:t xml:space="preserve">, som närmast haft hand om och skött mannen och som kanske haft det mest tråkiga arbete, som någon människa kan råka ut för, </w:t>
      </w:r>
      <w:r>
        <w:rPr>
          <w:b/>
        </w:rPr>
        <w:t>hon²</w:t>
      </w:r>
      <w:r>
        <w:rPr>
          <w:b w:val="0"/>
        </w:rPr>
        <w:t xml:space="preserve"> har icke blivit ihågkommen av motionärerna. Jag finner inga skäl, som tala starkare för reservationen än för utskottets förslag. Så hava vi, som tillhört utskottsmajoriteten, sett saken.</w:t>
        <w:br/>
        <w:br/>
        <w:t>Jag vidhåller mitt yrkande.</w:t>
        <w:br/>
        <w:br/>
        <w:t>för sig. Jämväl beträffade kontrapropositionen äskade herr Holmgren vote- Ang. dana-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