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678</w:t>
      </w:r>
    </w:p>
    <w:p>
      <w:r>
        <w:rPr>
          <w:b/>
        </w:rPr>
        <w:t xml:space="preserve">Datum: </w:t>
      </w:r>
      <w:r>
        <w:t>1931-05-20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Åkerberg (Socialdemokraterna, man)</w:t>
      </w:r>
    </w:p>
    <w:p>
      <w:r>
        <w:rPr>
          <w:b w:val="0"/>
        </w:rPr>
        <w:t>Herr talman! Jag har i fråga om de allmänna principerna i den kungl. propositionen anslutit mig till utskottets och propositionens uppfattning. Jag har ej gjort det därför, att jag tycker, att vårt gamla rättegångssystem har varit så dåligt, och icke heller därför, att jag tror, att det nya, som justitieministern bjuder på, är något ymnighetshorn, ur vilket man kan utan vidare med ett enkelt handgrepp plocka fram goda och rättvisa domar. Jag tror, att i framtiden liksom tillförne beror det icke så mycket på systemet, på lagarna, utan på de människor, som skola handhava dessa lagar, på domarna, nämndemännen och till och med på parterna och vittnena.</w:t>
        <w:br/>
        <w:br/>
        <w:t>Justitieministern har ju fått de stora grundprinciperna i sitt förslag godkända av utskottet. I fråga om denna muntlighet, koncentration och omedelbarhet, som det talas om, så är det enda verkliga avsteget det, som gäller föredragningen i överrätterna, och anledningen till, att utskottet på den punkten gjort en avvikelse, som icke är alltför stor, är framför allt kostnadssynpunkten. Förut har det varit en ganska enkel procedur att föra ett mål vidare till hovrätten. Man har skickat in en skrift, och så har det hela gått av sig självt. Man bör icke bryta alltför radikalt med detta genom att införa en ordning, som genom sin dyrbarhet gör det omöjligt för folk att vidare föra annat än större mål över till överrätterna. Om man skall draga upp hela rättsproceduren med partanföranden och vittnesmål och allt sådant samt nämnd i hovrätten, så blir det ju en synnerligen kostsam historia. Ingen människa, som har ett mål, som gäller ett mindre belopp eller värde, kan vid sådant förhållande mera tänka på att fortsätta längre än till underrätten. Man bör icke göra muntligheten till en religion, som hindrar en förnuftig anpassning. Herr Löfgren, som väl får betraktas som muntlighetslärans mest trofaste apostel, åtminstone i utskottet, har reagerat mycket starkt på denna punkt. Han var rädd för att ge ett finger åt den lede frestaren, men man bör icke låta detta de fria krafternas spel, som han talade om, drivas så långt, att hela spelet går i stycken. J ustitieministern har ju förutsatt, att i en del mycket små mål skulle parterna icke behöva vara tillstädes, och där skulle alltså hovrättsföredragning ske. Men man får nog se den sanningen i ansiktet, att det kommer att bli mera skriftlighet och mindre muntlighet i överrätterna, än doktrinärerna äro villiga att medge. Man får ju ej slaviskt efterleva sådana utländska förebilder utan söka forma dem efter våra villkor och krav.</w:t>
        <w:br/>
        <w:br/>
        <w:t>Ja, herr talman, jag skulle utöver detta endast vilja hålla mig till ett par detaljfrågor, som redan förut här vidrörts och beträffande vilka jag uppträder som reservant i utskottet. Det är ett område, som man skulle kunna sammanföra under rubriken »det folkliga inflytandet» och som herr Björck varit inne på här nu senast. Rubriken »det folkliga inflytandet» rymmer ju en hel del. Det rymmer nämndens medverkan i domstolen och nämndens rösträtt, domarval och en hel del sådana saker. I avvägningen av detta folkliga intresse får man dock försöka hålla för ögonen, att huvudmålet alltid måste vara att få</w:t>
        <w:br/>
        <w:br/>
        <w:t>en så god dom som möjligt. Jag tror, att det var den senaste ärade talaren, som i utskottet fällde uttrycket: en folklig dom är alltid en god dom. Om man har den uppfattningen, är man inne på formaldemokratien; då har man gett saken till spillo för formen. Om man skulle söka bilda sig en uppfattning om, vilka förutsättningarna äro för en god dom, får väl den första förutsättningen sägas vara, att det åstadkommes en vederhäftig utredning i målet, att man verkligen genom parternas anföranden, vittnenas andraganden och allt sådant får en klar och redig uppfattning om det, som är relevant i målet. Denna synpunkt, som är grundläggande för min uppfattning, pekar alltså på att man bör i domstolen ha tillgång till juridiskt skarpsinne och juridisk erfarenhet. Men det behövs ju också något mera, och sedan gammalt har det ju varit så, som den senaste ärade talaren anförde, att man får vid domens utmätning taga hänsyn även till annat, mänskliga känslor och de förhållanden, som spelat in vid brottets begående eller i det tvistemål, som föreligger. Man fordrar, för att använda ett allmänt begagnat uttryck, att domen skall vara uttryck för det allmänna rättsmedvetandet. Det där allmänna rättsmedvetandet är kanske en fiktion, och vore professor Lundstedt i denna kammare, skulle han nog mycket vältaligt kunna bevisa för oss, att det finnes ingenting, som kan kallas för det folkliga rättsmedvetandet. Men även om man teoretiskt kan godkänna hans ståndpunkt, får man väl ändock säga, att det ligger en realitet bakom detta begrepp, detta uttryck, som man ej bör se bort från, även om man filosofiskt kan resonera ihjäl själva uttrycket. Detta folkliga inflytande har ju här i vårt land representerats framför allt av nämnden i häradsrätten. Jag är ense med vad, som jag tror, herr Schlyter i förmiddags utvecklade: lekmannaelementets förmåga att tillföra domstolarna nya förnuftiga och uppfriskande synpunkter. Jag tror det är ingen, som skulle vilja gå in för att avskaffa nämnden i våra häradsrätter. Det är en för vårt land säregen institution, som är oändligt överlägsen den jury, som användes i en del andra länder. Jag går så långt, att jag i det stycket kan instämma i vad den senaste talaren sade, att det icke skulle vara en olycka, om man utsträckte nämndens giltighet även till domstolarna i våra städer. Frågan om nämndens inflytande, hur det skall utmätas, ligger i alla fall något på sidan om de formaldemokratiska synpunkter, som den senaste talaren androg. Den starka ställning, nämnden fått i vårt rättegångsväsen, sammanhänger enligt min uppfattning åtminstone i rätt stor utsträckning med det hittillsvarande systemet, att det kräves enhällighet i nämnden, för att den skall kunna rösta omkull domaren. Nämnden har, skulle man kunna säga, ej verkat genom sin massa utan genom sin sakliga tyngd. Det är just därigenom den kunnat godtagas som ett auktoritativt uttryck för det folkliga rättsmedvetandet. Går man över till majoritetsröstningen, så att man förvandlar domaren t. ex. till en individ i ett kollektiv och varje nämndeman till en enkel röst i nämnden, i stället för att det hela förut varit byggt på samspel mellan två jämnstarka parter, domaren och nämnden, är man inne på ett alldeles nytt system, och jag tror, att faran för, att nämndens auktoritet därigenom skall undergrävas, är nära. Propositionen har icke övergått till verklig majoritetsröstning men tagit ett gott steg på vägen mot det målet. Jag tror icke, att om man tager propositionens linje, det blir någon katastrof, men det är möjligt, att det är ett alltför långt steg på vägen från det ideal, som jag nyss utvecklade.</w:t>
        <w:br/>
        <w:br/>
        <w:t>Jag har i utskottet antecknat en blank reservation, och jag vill tala om vad den innebär. Jag har i utskottet väckt förslag om en kompromiss mellan utskottets eget förslag och propositionen, som en del reservanter gått in för. Jag har gjort det framför allt därför att jag räknade med, att om man går fram på dessa båda linjer, kommer det att sluta med att kamrarna på den punkten stanna i olika beslut. Jag antager, att första kammaren kommer att sluta upp</w:t>
        <w:br/>
        <w:br/>
        <w:t>kring utskottets förslag, som innebär bibehållande av den nuvarande regeln, under det att andra kammaren kommer att gå in för propositionen, enligt vilken av åtta domföra nämndemän sex skulle kunna rösta över domaren. Man vet ju ej, hur läget skulle bli då. Någon sammanjämkning eller gemensam omröstning kan ju ej tänkas här. Det får väl gå till regeringen med båda dessa direktiv. Den regering, som kommer att framlägga förslag en gång, skulle närmast ha att tänka ut en kompromiss, och jag kan icke tänka mig en annan kompromiss, än att man fastställde nämndens domföra ledamotsantal till sju eller åtta och, om man säger sju, bestämmer, att sex av dessa skulle kunna rösta över domaren. Jag menade då, att det vore lika bra, att utskottet självt och sedan riksdagen gjorde den kompromissen. Därigenom bryter man å ena sidan udden av den anmärkning, herr Schlyter i förmiddags framförde och som jag tror är den enda, som talar för en ändring av de nuvarande bestämmelserna, nämligen att erfarenheten visar, att det finnes i många nämnder en och annan sådan servil natur, som av princip aldrig röstar emot domaren, även om hans uppfattning går i en annan riktning. Men å andra sidan är det ju icke en så radikal brytning med det nuvarande systemet. Man räddar i stort sett principen, att nämnden skall vara ett odelbart helt, icke en majoritetsförsamling, där man röstar efter politiska eller andra principer. Jag tror, att den linjen har framtiden för sig. Jag har icke närmare utformat den i någon reservation och tror icke, att det finnes någon utsikt att här föra fram ett förslag i den riktningen, om det ens finnes formell möjlighet därtill. Men jag tror, att det kommer att bli framtidens lösning.</w:t>
        <w:br/>
        <w:br/>
        <w:t xml:space="preserve">Jag har ytterligare ensam i denna kammare jämte herr Hedlund i andra kammaren reserverat mig på en annan punkt, nämligen om parts hörande på ansvar. Herr Reuterskiöld har förut talat i det ämnet, och jag kan i det stycket till stor del ansluta mig till honom, om jag också icke kan gilla hans uppfattning i andra stycken. Utskottet säger, att parts hörande under ansvar, partförhöret, skall vara ett primärt bevismedel, under det att jag i min reservation har yrkat på, att part skall höras under ansvar endast om sanningen icke kan framletas på annat sätt. Det där om parts sanningsplikt, som det förut talats om, är något alldeles särskilt. Herr Lindhagen frågade i utskottet: skall man ej ha rätt att fordra, att part skall tala sanning? Och det var samma synpunkt, jag hörde här privat framföras för en stund sedan, när någon talade om vad herr Reuterskiöld hade sagt. Det var någon som sade, att han hade gjort gällande, att part skulle ha rätt att ljuga inför domstolen. Det är ju att vränga och vända upp och ned på det verkliga förhållandet. Det är klart, att man har rätt att fordra av en part, att han skall tala sanning inför rätten. Det fordrar man även enligt nuvarande lag. Det finnes ju till och med bötesbestämmelser för den, som ljuger inför domstol, men det hör till saken, att den bestämmelsen fallit ur bruk, vilket tyder på, att det är något fel med den och att det bjuder emot det allmänna rättsmedvetandet att gå fram alltför radikalt på den punkten. Naturligtvis har man rätt att fordra, att part skall tala sanning, men man finner det antagligen förklarligt, om han försöker svänga sig. Man bör icke i onödan tvinga en part in i en sådan situation. Utskottet erkänner självt detta genom att för egen del undantaga part i brottmål från denna absoluta plikt att tala sanning. Varför skall icke en part även i brottmål tvingas att tala sanning? Det finnes en analogi på ett annat hithörande område. Vi ha gått in för fri bevisprövning och avskaffat de gamla vittnesjäven, men utskottet och propositionen hejda sig i alla fall, när de komma fram till verkligt närstående släktingar, far, </w:t>
      </w:r>
      <w:r>
        <w:rPr>
          <w:b/>
        </w:rPr>
        <w:t>mor²</w:t>
      </w:r>
      <w:r>
        <w:rPr>
          <w:b w:val="0"/>
        </w:rPr>
        <w:t xml:space="preserve"> och syskon. De skola icke kunna tvingas att avlägga vittnesmål gent emot sina närmaste. Anledningen är givetvis den, att man icke vill utsätta dem för en sådan själsklyvning, för frestelsen att stå i fars eller mors eller brors intresse och föra</w:t>
        <w:br/>
        <w:br/>
        <w:t xml:space="preserve">falskt vittnesmål inför domstolen. Men föreligger det icke precis samma skäl beträffande part? Var och en är sig själv närmast, och frestelsen att ljuga i sitt eget intresse är naturligtvis minst lika stor som frestelsen att ljuga i sin pappas, </w:t>
      </w:r>
      <w:r>
        <w:rPr>
          <w:b/>
        </w:rPr>
        <w:t>mammas²</w:t>
      </w:r>
      <w:r>
        <w:rPr>
          <w:b w:val="0"/>
        </w:rPr>
        <w:t xml:space="preserve"> eller sina barns intresse. Om man anser mänskligt, att man tager hänsyn till sådana saker beträffande vittnesmål, är det väl också mänskligt att taga hänsyn därtill i fråga om parts hörande på ansvar. Processkommissionen, som för övrigt gått på den linje, jag företräder i reservationen, omtalar bland annat, hur det system, som förordas av utskottet, har verkat t. ex. i England, som ju är ett mönsterland också på detta område. Där har det lett därhän, att en rättegång i England i allmänhet inledes med att båda parterna avlägga ed och avlägga ed på diametralt motstridande uppgifter. Domstolsförhandlingen börjar med att konstatera, att den ena av parterna begått mened, och eftersom detta är så vanligt, har det lett till att man ser genom fingrarna med det. Man får icke straff för det och så kommer det naturligtvis även att gå här. Detta att man håller så styvt på att parten skall vara det primära bevismedlet, kommer att leda till att vördnaden för lagen undergräves 1 stället för att man skapar möjlighet att åstadkomma bättre bevisning. Nu har ju utskottet visserligen mildrat sin ståndpunkt genom att framhålla, att det icke bör vara så strängt straff som för mened, om parten ger falska uppgifter inför rätta, men det skäl, som gäller emot parts hörande på ed, gäller också mot parts hörande på ansvar under tillämpande av lindrigare straffsatser. Eljest glider man ju tillbaka i det nuvarande systemet, att det visserligen finnes en bestämmelse i lagen om straff, som dock aldrig tillämpas. Jag tror, att detta kommit till i utskottet på ett alltför lättvindigt sätt. Vi hade diskuterat en lång stund om helt andra saker — visserligen hörande till samma kapitel — men just som debatten höll på att avslutas, var det någon talare — jag tror det var utskottets ordförande — som framkastade detta förslag, att utskottet skulle uttala sig för att part skulle höras i början av förhandlingen och på ansvar. Och det blev också beslutat. Men på denna punkt har opinionen ännu så litet hunnit stadga sig. I juristkretsar har man delade meningar om saken. Och om jag icke är orätt underrättad, kommer just i sommar att hållas ett juristmöte i Stockholm, där denna fråga blir föremål för överläggning. När det ligger så svävande till, tycker jag, att riksdagen ej har någon anledning att låsa fast sig vid en ståndpunkt, mot vilken det framförts så många och starka sakskäl. Jag ber, herr talman, att få yrka bifall till den nu föredragna punkten.</w:t>
      </w:r>
    </w:p>
    <w:p>
      <w:pPr>
        <w:pStyle w:val="Heading2"/>
      </w:pPr>
      <w:r>
        <w:t>2. Anders Fränden (Högerns riksdagsgrupp, man)</w:t>
      </w:r>
    </w:p>
    <w:p>
      <w:r>
        <w:rPr>
          <w:b w:val="0"/>
        </w:rPr>
        <w:t>Herr förste vice talman! Då jag varit med i utskottsbehandlingen av detta ärende och jämväl står bland reservanterna, anhåller jag att få yttra några ord 1 frågan.</w:t>
        <w:br/>
        <w:br/>
        <w:t>Av riksdagen begäres yttrande över grundlinjerna till en rättegångsreform. Det är verkligen vanskligt för en lekman att taga ställning härtill, då man ej har ett utformat förslag till de ändringar, som avses. Tveksamt är det även med hänsyn till att man ej kan veta så mycket om de kostnader, som reformen kan kräva för sitt genomförande, och även med hänsyn till de ökade kostnader, som kunna uppstå för den rättssökande allmänheten. Det är därför all anledning att riksdagen, såsom utskottet föreslagit, förbehåller sig fria händer, tills ett kommande, utarbetat förslag föreligger.</w:t>
        <w:br/>
        <w:br/>
        <w:t>Reservanterna herrar Christenson m. fl. gilla i åtskilliga delar förslaget, men vi ha dock ansett oss böra anmäla avvikande mening på en del punkter, där vi anse, att förslaget går för långt. Vissa brister finnas ju 1 vårt rättegångsväsen. Därom kunna vi alla vara eniga. Dessa brister äro dock icke så stora, som man på många håll velat göra gällande. De huvudsakligaste bristerna, som enligt min mening vidlåda vårt rättegångsväsen, äro för det första uppskovsväsendet, vidare vikariatsystemet och måhända även åklagarväsendets</w:t>
        <w:br/>
        <w:br/>
        <w:t>tillstånd. Dessa brister synas mig kunna avhjälpas med partiella reformer. En fullständig ombildning av vårt rättegångsväsen synes ej vara erforderlig. Å andra sidan har vårt nuvarande rättegångsväsen den stora förtjänsten, att det är synnerligen billigt. Det framhölls i utskottet, att rättegångskostnaderna hos oss säkert äro de billigaste, som förekomma i något land. De nu föreslagna åtgärderna synas mig gå längre än vad som är nödvändigt för bristernas avhjälpande och äro därjämte ägnade att i hög grad öka kostnaderna.</w:t>
        <w:br/>
        <w:br/>
        <w:t>Det huvudsakliga i förslaget avser ändring i förfarandet vid underdomstolarna. Man vill införa ett koncentrerat, muntligt förfarande i stället för det nuvarande blandade muntliga och skriftliga systemet. Muntligheten har otvivelaktigt sina fördelar men även nackdelar. Att koncentrera förhandlingen till ett enda tillfälle och där höra alla vittnen och få all utredning framlagd förefaller kanske tilltalande, men kan särskilt i stora mål medföra svårigheter att sammanbhålla det hela. Man får icke gå för långt. Det omedelbara intrycket är givetvis av stort värde, men det kan inträffa, att det hastiga intrycket kan bli vilseledande.</w:t>
        <w:br/>
        <w:br/>
        <w:t>Ökad muntlighet är säkerligen av behov, men part bör ej förbjudas att ingiva skrift, som han också bör få uppläsa inför rätten. Det kan bli svårt för domaren att vid långa anföranden av parten hålla i minnet allt vad denne har att säga. Det upplystes i utskottet, att flera länder, som gått in för den rena muntligheten, ändrat sig och medgivit skrifter i viss utsträckning. Svårt blir det också för parterna att själva eller genom annat än rättsbildade ombud föra sin talan vid muntligt förfarande. Det finns, som vi alla känna till, icke rättsbildade personer, som kunna på egen hand uppsätta en saklig och riktig skrift, som a kunna föredraga inför rätten, men som icke muntligen kunna framföra sin talan.</w:t>
        <w:br/>
        <w:br/>
        <w:t>Sedan kommer jag till frågan om förberedelse. Att uppdela förfarandet i förberedelse och huvudbehandling är väl lämpligt i större mål. I mindre mål må dock detta anses onödigt. Domaren bör själv få bestämma, om förberedelse skall äga rum eller ej. Till grund för domen bör få läggas allt processmaterial, även om det ej direkt framförts vid huvudförhandlingen, sålunda allt som förekommit vid förberedelsen, såsom skrifter, protokoll m. m. Domaren bör också lämpligen vid överläggningen meddela nämnden det viktigaste, som förekommit vid den förberedande förhandlingen.</w:t>
        <w:br/>
        <w:br/>
        <w:t>Aven om uppskov med det nya förfarandet icke kommer att äga rum i på långt när samma omfattning som nu, blir det säkerligen i större mål eller av särskild anledning, såsom vid uteblivande av part, vittne eller annat, i vissa fall nödigt att meddela uppskov. I sådana fall bör förfarandet ej upprepas, utan endast fortsättning därav ske, såsom det nu förekommer.</w:t>
        <w:br/>
        <w:br/>
        <w:t>Man har klagat mycket på protokollen vid underrätterna, och det har i utskottet särskilt med skärpa framhållits huru ofullständiga dessa i regel äro och att de även brista i riktighet. Bästa botemedlet häremot synes vara att göra dem mera tillförlitliga och fullständiga än vad som nu förekommer. De böra ej beskäras i så stor omfattning som föreslagits. Även parternas anföranden böra i erforderlig utsträckning medtagas i protokollet.</w:t>
        <w:br/>
        <w:br/>
        <w:t>Av synnerlig vikt måste det vara, att domen ej meddelas förrän domstolen är fullt beredd härtill. Även om uppskov härför erfordras, är detta vida att föredraga framför en förhastad dom.</w:t>
        <w:br/>
        <w:br/>
        <w:t>Även i brottmål bör allt processmaterial få beaktas vid målets avgörande.</w:t>
        <w:br/>
        <w:br/>
        <w:t>Någon egentlig olägenhet med nuvarande skriftliga förfarande i hovrätterna torde knappast ha uppkommit. Man har ju påtalat långsamheten i hovrätterna, men detta fel har blivit betydligt avhjälpt under senare år. Införande av muntligt förfarande i hovrätt kommer utan tvivel att medföra betydligt ökade kostnader såväl för staten som för den enskilde. Det kan ju medgivas, att i vissa</w:t>
        <w:br/>
        <w:br/>
        <w:t>fall muntlig förhandling kan vara lämplig. Om man emellertid medger hovrätten att förordna om muntlig förhandling, där den så finner skäligt, i anledning av parts yrkande eller eljest, torde detta vara tillräckligt.</w:t>
        <w:br/>
        <w:br/>
        <w:t>Någon anledning att ändra nu gällande regler för handläggning av mål inför högsta domstolen torde ej förefinnas. Skulle man här gå in för ett muntligt förfarande, kommer det att medföra synnerligen ökade kostnader för parterna.</w:t>
        <w:br/>
        <w:br/>
        <w:t>Enligt förslaget är det avsett, att endast större och medelstora städer skola få behålla sin jurisdiktion. Meningen synes vara, att detta skulle bli fallet allenast med städer, som hava tre lagfarna ledamöter i sin rådhusrätt. Detta synes vara att gå alldeles för långt. Till en början böra de städer, som hava två lagfarna, utan olägenhet kunna få behålla jurisdiktionen. Detsamma kan nog gälla även för en del städer med endast en lagfaren. Huvudsaken är, att full sysselsättning kan beräknas för vederbörande, så att han kan vidmakthålla kunskaper och förmåga för sin uppgift.</w:t>
        <w:br/>
        <w:br/>
        <w:t>En närmare utredning härutinnan synes erforderlig. Frågan bör prövas från fall till fall. Att på förhand generellt fastställa en viss gräns kan ej vara lämpligt. Största avseende bör fästas vid vederbörande städers egen mening.</w:t>
        <w:br/>
        <w:br/>
        <w:t>Om enligt förslaget femtio å sextio städer skulle berövas sin Jurisdiktion, uppkomma för statsverket högst väsentliga kostnader för ersättning åt alla de stadsdomare, som skulle sättas på indragningsstat.</w:t>
        <w:br/>
        <w:br/>
        <w:t>Rätt till jurisdiktion synes även böra beredas de städer under landsrätt, som äro så stora, att de kunna bära upp egen rättsskipning.</w:t>
        <w:br/>
        <w:br/>
        <w:t>Införande av den för oss främmande anordningen med hovrättsting synes ej kunna vara till gagn. Den kommer att medföra stora olägenheter för hovrätterna och deras arbete samt betydande kostnader för staten. Om på sätt som föreslagits i vår reservation skriftligt förfarande i hovrätterna bibehålles i större utsträckning än förslaget avser, torde denna anordning vara onödig.</w:t>
        <w:br/>
        <w:br/>
        <w:t>Utskottet börjar sitt yttrande på sid. 5 i andra punkten med följande: »En av de största svagheterna i det nuvarande rättegångsskicket är otvivelaktigt bristen på koncentration i underrättsförfarandet. Denna brist, som främst har sin grund i det rådande uppskovsväsendet, icke blott minskar snabbheten i rättsskipningen, den innebär även en fara för rättsskipningens säkerhet.&gt; Emot den sista meningen i detta utskottets uttalande måste Jag inlägga min gensaga. Det torde icke med fog kunna sägas, att vårt nuvarande rättegångsväsende åtminstone i någon större grad äventyrar rättssäkerheten. Hur kan detta för övrigt vara möjligt, när man tänker på det stora förtroende, som allmänheten har till vårt rättsväsen?</w:t>
        <w:br/>
        <w:br/>
        <w:t>Till sist ber jag att få framhålla, att den rättegångsreform, som nu påkallas, icke begärts eller påyrkats av den rättssökande allmänheten, utan den har påkallats från annat håll.</w:t>
        <w:br/>
        <w:br/>
        <w:t>Jag ber, herr talman, att få hemställa om bifall till det uttalande, som återfinnes i herr Christensons m. fl. reservation vid punkt 1.</w:t>
      </w:r>
    </w:p>
    <w:p>
      <w:pPr>
        <w:pStyle w:val="Heading2"/>
      </w:pPr>
      <w:r>
        <w:t>3. Ernst Trygger (Högerns riksdagsgrupp, man)</w:t>
      </w:r>
    </w:p>
    <w:p>
      <w:r>
        <w:rPr>
          <w:b w:val="0"/>
        </w:rPr>
        <w:t>Herr talman, mina herrar! För en tjugu år sedan, då jag ännu något sysselsatte mig med processrätten, fick jag en inbjudan att hålla en föreläsning i Helsingfors. Jag valde såsom ämne det den 3 december 1900 avgivna förslaget till reform av rättegångsväsendet i Finland, i vad det avsåg skiljemän. Jag redogjorde för ämnet, så gott jag kunde, och slutade med några ord, som jag skall be att få upptaga herrarnas tid med att läsa upp såsom utgångspunkt för min åsikt i den föreliggande frågan. Jag talade om</w:t>
        <w:br/>
        <w:br/>
        <w:t>att skiljedomsförfarandet vann allt mer och mer sympati, så att man icke blott ansåg det lämpligt i rättstvister utan till och med starkt diskuterade dess användning också 1 intressetvister, samt fortsatte därefter: »Men icke dess mindre anser man sig kunna nöja sig med regler för skiljedomstolens konstituerande och förfarandet, som icke äro stort vidlyftigare än de, som vi här hava funnit i föreliggande lagförslag. Man blir inför dessa sakförhållanden benägen att ställa sig den frågan: Är det verkligen nödvändigt att hava ett processförfarande, så genomsyrat av rättsregler, som det såväl äldre som nyare processlagar anordna? Äro alla dessa garantier för ett riktigt avgörande nödvändiga, ja, äro de i själva verket, trots sin talrikhet, tillräckliga? Så mycket torde ligga för var och en i öppen dag, att nödvändigheten av ett flertal processregler har sin grund i domarens och parternas (deras ombuds) ofullkomlighet. Idealet för ett processförfarande synes mig vara ett sådant, där de ledande processobjekten, domstol och parter, äro så fria som möjligt i sitt arbete att nå sanningen. Men detta ideal strandar på processubjektens bristande förmåga och bristande vilja och, vad parterna angår, särskilt deras bristande sanningskärlek. Man bör dock sträva efter detta ideal så långt omständigheterna tillåta dess genomförande, och vad särskilt det förnämsta processubjektet, domstolen, angår kan man komma långt och har kommit långt i dess fullkomnande.»</w:t>
        <w:br/>
        <w:br/>
        <w:t>Av vad jag nu uppläst och som uttrycker min åsikt, framgår ju klart, att jag i motsats mot justitieministern anser domstolsorganisationen såsom det primära vid en reform av rättegångsväsendet och förfarandet såsom det sekundära. Målet är ju rättens förverkligande, och det är då främst tack vare domstolen, domaren, som detta förverkligande kan ske. Det förfarande, som skall användas, beror på de garantier, som domstolen lämnar, på domstolens beskaffenhet. Ju större dessa garantier hos domstolen äro, desto mer kan man i fråga om själva förfarandet låta domstolen handla efter omständigheterna, desto smidigare och enklare kan själva förfarandet bli. Man vinner på detta sätt samma säkerhet, men man uppnår ett resultat både snabbare och billigare. Justitieministern anser, att förfarandet just är själva centralpunkten. Organisationen är, som han sade, endast ett medel men icke ett självändamål. För mig ter sig saken så, att varken organisation eller förfarande är självändamål, utan bägge äro medel, men det förnämsta medlet är domstolen.</w:t>
        <w:br/>
        <w:br/>
        <w:t>Detta är den första anmärkning, som jag har med avseende på det nu föreliggande förslaget.</w:t>
        <w:br/>
        <w:br/>
        <w:t xml:space="preserve">Jag har också en annan anmärkning, nämligen att det förefaller mig beklagligt, att denna fråga skall framläggas för riksdagen genom ett blott principbetänkande. Jag anser det innebära ett förbiseende av att rättegångsväsendet är en enhet och bör bedömas som en enhet. För riksdagen är det nästan omöjligt — ja, kanske många av herrarna ha större förmåga, men mig förefaller det omöjligt att intaga en verklig ståndpunkt till ett sådant här principbetänkande. Det är ett gammalt ordstäv, som säger, att vägen till helvetet är stensatt med goda föresatser. Man kan också säga, att ifall man konstruerade en människa med alla de goda egenskaper, som man kunde hitta på, skulle det säkerligen bli — ett missfoster. Jag erinrar mig från historien, hur det ofta gick till på 1600- och 1700-talen, när hoven skulle knyta släktskapsförbindelser med varandra. En ung prins skulle gifta sig, och man skickade ut några emissarier, som skulle titta på </w:t>
      </w:r>
      <w:r>
        <w:rPr>
          <w:b/>
        </w:rPr>
        <w:t>prinsessorna³</w:t>
      </w:r>
      <w:r>
        <w:rPr>
          <w:b w:val="0"/>
        </w:rPr>
        <w:t xml:space="preserve"> vid de andra hoven. Jag har läst berättelser om huru dessa herrar skrevo hem och berättade, att den </w:t>
      </w:r>
      <w:r>
        <w:rPr>
          <w:b/>
        </w:rPr>
        <w:t>prinsessa³</w:t>
      </w:r>
      <w:r>
        <w:rPr>
          <w:b w:val="0"/>
        </w:rPr>
        <w:t xml:space="preserve">, som de särskilt rekommenderade, hade förtjusande ögon, </w:t>
      </w:r>
      <w:r>
        <w:rPr>
          <w:b/>
        </w:rPr>
        <w:t>hon²</w:t>
      </w:r>
      <w:r>
        <w:rPr>
          <w:b w:val="0"/>
        </w:rPr>
        <w:t xml:space="preserve"> hade något intagande i sitt väsen, </w:t>
      </w:r>
      <w:r>
        <w:rPr>
          <w:b/>
        </w:rPr>
        <w:t>hon²</w:t>
      </w:r>
      <w:r>
        <w:rPr>
          <w:b w:val="0"/>
        </w:rPr>
        <w:t xml:space="preserve"> hade grace i sitt uppträdande, </w:t>
      </w:r>
      <w:r>
        <w:rPr>
          <w:b/>
        </w:rPr>
        <w:t>hon²</w:t>
      </w:r>
      <w:r>
        <w:rPr>
          <w:b w:val="0"/>
        </w:rPr>
        <w:t xml:space="preserve"> hade den allra vackraste hy ete. </w:t>
      </w:r>
      <w:r>
        <w:rPr>
          <w:b/>
        </w:rPr>
        <w:t>Hon²</w:t>
      </w:r>
      <w:r>
        <w:rPr>
          <w:b w:val="0"/>
        </w:rPr>
        <w:t xml:space="preserve"> godkändes av det andra hovet, och så</w:t>
        <w:br/>
        <w:br/>
        <w:t xml:space="preserve">kom </w:t>
      </w:r>
      <w:r>
        <w:rPr>
          <w:b/>
        </w:rPr>
        <w:t>hon²</w:t>
      </w:r>
      <w:r>
        <w:rPr>
          <w:b w:val="0"/>
        </w:rPr>
        <w:t xml:space="preserve">, men den, som inte blev nöjd, var den blivande mannen. Men vad skulle han göra? </w:t>
      </w:r>
      <w:r>
        <w:rPr>
          <w:b/>
        </w:rPr>
        <w:t>Hon²</w:t>
      </w:r>
      <w:r>
        <w:rPr>
          <w:b w:val="0"/>
        </w:rPr>
        <w:t xml:space="preserve"> var ju redan där. </w:t>
      </w:r>
      <w:r>
        <w:rPr>
          <w:b/>
        </w:rPr>
        <w:t>Hon²</w:t>
      </w:r>
      <w:r>
        <w:rPr>
          <w:b w:val="0"/>
        </w:rPr>
        <w:t xml:space="preserve"> hade alla dessa vackra sidor. Det fanns åtskilligt vackert, när man tog varje sak för sig, men när man såg på det hela, var </w:t>
      </w:r>
      <w:r>
        <w:rPr>
          <w:b/>
        </w:rPr>
        <w:t>hon²</w:t>
      </w:r>
      <w:r>
        <w:rPr>
          <w:b w:val="0"/>
        </w:rPr>
        <w:t xml:space="preserve"> förskräcklig, och den som förklarade det, var ofta mannen själv, som hade fått </w:t>
      </w:r>
      <w:r>
        <w:rPr>
          <w:b/>
        </w:rPr>
        <w:t>henne²</w:t>
      </w:r>
      <w:r>
        <w:rPr>
          <w:b w:val="0"/>
        </w:rPr>
        <w:t>.</w:t>
        <w:br/>
        <w:br/>
        <w:t>Något liknande gäller verkligen, när man kommer fram med ett sådant principbetänkande som det förevarande. Här ha vi dessa särskilda punkter. Vem tycker inte om muntlighet? Det är något alldeles utmärkt. Och muntligheten måste naturligtvis, om den skall bliva till nytta, vara förenad med omedelbarhet. Och det måste vara koncentration, fri bevisprövning och en massa andra saker — jag skall inte upprepa allt vad herrarna ha talat om under dagens ytterst intressanta debatt. Men hur ter sig, när vi ha röstat om alla dessa särskilda punkter, det förslag, som sedermera kommer att framläggas för riksdagen? Jag har överhuvud taget den uppfattningen, att det som verkligen står sig är det som icke är alltför förträffligt. För min del får jag säga, att Jag älskar syndaren mer än alltför fullkomliga människor. Jag tror också, att en processlag, som verkligen uppfyller åtskilliga av dessa fordringar, som man uppställer, vissa axiom, som vi här ha talat om, sedermera kan visa sig vara så beskaffad, att man rakt icke vill ha den. Däremot kan en PrIOCessS- lags praktiska värde, dess popularitet, möjligheten att på ett lyckligt sätt genomföra den, bero just på ett eller annat avvikande från de teoretiskt riktiga grundsatserna.</w:t>
        <w:br/>
        <w:br/>
        <w:t>Det är icke alls min mening att klandra Justitieministern, vare sig med min första anmärkning eller med den andra. Justitieministern har i en synnerligen svår situation gjort någonting utmärkt, som man läst med allra största glädje — ett gott huvud kan ju alltid göra någonting av en sak. Vad som alltid blir kvar är sålunda justitieministerns proposition, som ingen kan ha läst annat än med god behållning. Frågan blir nu, hur man bör göra i denna situation. Jag vet inte, vad herrarna anse, men Jag tänker på den tid, när man var ung och var ute med pojkarna. I badhuset var det en företeelse, som nu särskilt kommer mig i minnet. Det var åtskilliga pojkar, som sprungo upp på den s. k. kandidaten, den näst högsta platsen, från vilken man hoppade. De voro uppe där och tittade, och så kröpo de försiktigt ned. Rätt som det var, voro de uppe igen, och så kröpo de ned igen. Men slutligen sade några äldre pojkar som verkligen hoppade: »Hoppa nu, för det här är ett spektakel!» Detsamma vill jag säga nu. Vi ha hållit på alla dessa år med processlagstiftningen, och på denna har nedlagts en lärdom i processuella spörsmål, som är större än vad man finner i någon lärobok i hela världen. Då vi nu kommit dithän, måste jag trots den uppfattning Jag här uttalat säga: nu måste vi hoppa i sjön! Vi måste göra ett försök. Vi måste göra det, särskilt när vi kunna anförtro det hela åt en så sakkunnig ledning som den nuvarande justitieministerns, och vi få därefter avvakta, hur förslaget tar sig ut, när han fått slutbehandla det. Jag skulle inte bliva ledsen, ifall justitieministern hade förmågan att icke höra allt som är sagt här i kammaren och icke läsa allt, som är skrivet i utskottsbetänkandet. Jag hoppas, att han i stort sett måtte göra det ge han kan av detta, så få vi sedermera se, huruvida vi kunna antaga förslaget.</w:t>
        <w:br/>
        <w:br/>
        <w:t>Det är min ståndpunkt, herr talman, i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