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684</w:t>
      </w:r>
    </w:p>
    <w:p>
      <w:r>
        <w:rPr>
          <w:b/>
        </w:rPr>
        <w:t xml:space="preserve">Datum: </w:t>
      </w:r>
      <w:r>
        <w:t>1931-05-27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Kvarnzelius (Folkpartiet, man)</w:t>
      </w:r>
    </w:p>
    <w:p>
      <w:r>
        <w:rPr>
          <w:b w:val="0"/>
        </w:rPr>
        <w:t>Herr talman! Jag har jämte fem andra ledamöter av utskottet avgivit en reservation under I:o) a), vari vi yrka, att riksdagen må medgiva, att i huvudsaklig enlighet med vad i statsrådsprotokollet över finansärenden den 13 mars 1931 angivits må av den allmänna arvsfonden tillfallna kvarlåtenskapen efter Erik Magnus Edvard Svedbom avstås vad som åtgår för beredande av livräntor med följande årsbelopp, nämligen, åt Johanna Adolphina Wimmercranz 1,800 kronor och åt Sylvia Justina Berquist 2,400 kronor. I övrigt ha vi biträtt utskottets förslag.</w:t>
        <w:br/>
        <w:br/>
        <w:t xml:space="preserve">När jag nu begärt ordet för att yrka bifall till denna vår reservation, har jag gjort det därför, att dessa gamla </w:t>
      </w:r>
      <w:r>
        <w:rPr>
          <w:b/>
        </w:rPr>
        <w:t>kvinnor¹</w:t>
      </w:r>
      <w:r>
        <w:rPr>
          <w:b w:val="0"/>
        </w:rPr>
        <w:t xml:space="preserve"> levat sig in i den föreställningen, att de skulle få ärva Svedboms kvarlåtenskap, om de överlevde honom. Men då kom på grund av ett initiativ från lagberedningen en bestämmelse i arvslagen, som sade, att kusiner icke få ärva, och då blevo de avklippta från denna möjlighet. De hade så levat sig in i föreställningen att få ärva sin syssling, att det för dem bleve ett hårt slag om deras förhoppningar i den delen skulle helt gå om intet; det är det minsta, som man kan säga 1 detta avseende.</w:t>
        <w:br/>
        <w:br/>
      </w:r>
      <w:r>
        <w:rPr>
          <w:b/>
        </w:rPr>
        <w:t>Fröken²</w:t>
      </w:r>
      <w:r>
        <w:rPr>
          <w:b w:val="0"/>
        </w:rPr>
        <w:t xml:space="preserve"> Hesselgren motionerade i sista minuten om, att beloppen skulle sättas till 3,000 kronor för vardera. Emellertid kom under behandlingen i statsutskottet från herr Rosén ett yrkande, som är lika med det yrkande, som jag och mina medreservanter ha framställt. Jag för min del anser, att det är ett mycket billigt krav att tillgodose dessa två gamla </w:t>
      </w:r>
      <w:r>
        <w:rPr>
          <w:b/>
        </w:rPr>
        <w:t>fruntimmer²</w:t>
      </w:r>
      <w:r>
        <w:rPr>
          <w:b w:val="0"/>
        </w:rPr>
        <w:t xml:space="preserve"> på det sätt, som i denna reservation förordats, och jag anhåller därför, herr andre vice talman, att få yrka bifall till den av mig med flera avgivna reservationen.</w:t>
      </w:r>
    </w:p>
    <w:p>
      <w:pPr>
        <w:pStyle w:val="Heading2"/>
      </w:pPr>
      <w:r>
        <w:t>2. Rickard Sandler (Socialdemokraterna, man)</w:t>
      </w:r>
    </w:p>
    <w:p>
      <w:r>
        <w:rPr>
          <w:b w:val="0"/>
        </w:rPr>
        <w:t>Herr talman! Jag har ett intryck av att man på sina håll betraktar det som ett ganska tilltagset företag att vilja i den ordning som här</w:t>
        <w:br/>
        <w:br/>
        <w:t>skett söka beröva ett så behjärtansvärt ändamål som arvsfonden företräde till de medel, som man med rätta anser tillkomma den uti det här förevarande fallet. Andra äro kanske. tveksamma, och jag skulle tro, att de, som finna fallet tveksamt, också känna det bäst och att säkerheten i ståndpunkten beträffande denna fråga växer ungefär med kvadraten på avståndet.</w:t>
        <w:br/>
        <w:br/>
        <w:t>För min del har jag tillhört dem. som funnit fallet vara tveksamt, och jag har bland annat av den anledningen ansett, att det borde prövas av riksdagen. Jag är i det goda sällskapet för övrigt, att även den fungerande departementschefen uppenbarligen betraktar det som rätt tveksamt, huruvida icke omständigheterna här äro sådana, att ett avstående av arvsfondens rätt kan komma 1 fråga.</w:t>
        <w:br/>
        <w:br/>
        <w:t>Jag vill från början säga, att bland utskottets tvenne avslagsskäl kunna vi låta bli att diskutera det ena. Det är ju nämligen så, att pengar, som skulle ha kommit till arvsfonden eller som finnas i arvsfonden, kunna ju disponeras annorlunda på två olika vis, antingen därigenom, att man beslutar att avstå från, att de skola gå till arvsfonden, eller också därigenom, att man utdelar medlen från arvsfonden. Statsutskottet säger nu, att varken det ena eller det andra kan komma i fråga i detta fall. Jag delar, herr talman, statsutskottets uppfattning i det senare hänseendet. Jag anser liksom statsutskottet, att det ändamål, som det här är fråga om, icke hör till dem, för vilka en utdelning ur arvsfondens medel rimligen kan komma i fråga, och jag tänker därför inte diskutera med statsutskottet på den punkten, utan det gäller helt och hållet frågan, om omständigheterna kunna motivera ett avstående av dessa arvsmedel helt eller delvis.</w:t>
        <w:br/>
        <w:br/>
        <w:t>Den som något känner förhållandena måste säga sig, att departementschefen givit en fullkomligt riktig teckning av sakläget, och jag skall därför nöja mig med att på den punkten återge, vad departementschefen själv anser vara konstaterat, nämligen »att den familj, Erik Svedbom tillhörde, under ett par generationer ägnat musiken, med vad därtill hör, ett utomordentligt starkt intresse och att flera av dess medlemmar genom framstående musikalisk begåvning och personliga insatser skapat sig ett namn inom vårt lands musikhistoria»; vidare att »det bör ej heller råda mer än en mening om att också Erik Svedbom själv var mäktig att omfatta, och även omfattade, musiken med verkligt intresse», och att slutligen, som departementschefen uttrycker sig, han finner »den av Erik Svedbom närstående personer uttalade uppfattningen ej sakna fog, att Erik Svedbom, därest han varit vid sina sinnens bruk, sannolikt skulle genom testamente ha sörjt för att hans stora förmögenhet kommit att efter hans död helt eller delvis användas till musiklivets främjande».</w:t>
        <w:br/>
        <w:br/>
        <w:t>Jag tror, att alla de, som känna denna familjs historia och förhållanden genom tvenne generationer, skola vara i stånd att vitsorda riktigheten av den meningen, att något annat handlingssätt kunde man överhuvud inte vänta från Erik Svedboms sida, i den mån han var i stånd till en handling, än att hans medel borde komma musiken till godo. Det är en utgångspunkt i detta ärende, som man inte får förbise.</w:t>
        <w:br/>
        <w:br/>
        <w:t>Nu föreligger här inte något laggiltigt testamente, och jag har med en viss överraskning funnit, att personer, vilkas omdöme jag sätter mycket stort värde på, resonera som så, att om ett testamentariskt förordnande inte är laggillt, så är det därmed också obefintligt och betydelselöst och har överhuvud ingenting att säga beträffande arvlåtarens yttersta vilja. Det är en uppfattning, som Jag finner vara orimlig. Jag vågar av naturliga skäl inte gå in på någon vare sig juridisk eller medicinsk diskussion av detta grannlaga ämne. Men så mycket kan jag säga, att denna uppfattning även ur juridisk synpunkt torde vara orimlig, då man finner, att lagberedningen år 1929 i motiveringen till testamentslagen anfört, att ett abnormt sinnestillstånd inte i och för sig</w:t>
        <w:br/>
        <w:br/>
        <w:t>är grund för ett testamentes ogiltighet. Testamentet skall ha tillkommit under inflytande av det abnorma tillståndet. Det är på detta det kommer an, och även om jag gärna skall medge, att omständigheterna i alla fall äro tveksamma, så ligger i själva detta konstaterande, att de äro tveksamma, ett faktum, som gör, att billighetsgrunder och vissa allmänna hänsyn få komma till sin rätt på ett annat sätt än eljest vore rimligt.</w:t>
        <w:br/>
        <w:br/>
        <w:t>Såvitt jag har kunnat förstå av vad jag erfarit i denna sak, så får man nog anse, att Erik Svedboms önskan var, att hans medel skulle komma musiken till godo. Detta är en uppfattning, som också departementschefen, såsom jag erinrat, har funnit icke sakna fog. Men det brister i bevisningen, heter det. Jag kan ju fortsätta att citera departementschefen. Han kan inte komma längre, och jag kan ju inte klandra honom för att han inte kommit »längre än därtill, att det ändamål, konserthusstiftelsen avser att främja, stått Erik Svedbom nära; om stiftelsen som sådan kan detta ej sägas». Om donationen sålunda gällt själva musikändamålet, så skulle det ha varit något, som stod arvlåtaren nära, men detsamma kan icke sägas om stiftelsen. I den motion jag jämte några andra väckt, säges det helt stillsamt om detta resonemang: »Då ”ändamålet icke som sådant kan framträda med en ansökan utan alltid måste framträda genom något organ, som tjänar ändamålet, synas anspråken på bevisning vid en billighetsprövning, sådan som enligt lagens hela anda i hithörande fall kommer i fråga, vara drivna för långt.»</w:t>
        <w:br/>
        <w:br/>
        <w:t>Ja, mina herrar, om man kommer till den punkten, att man finner det vara av omständigheterna ganska klarlagt, att Svedbom hade önskat, att hans medel skulle komma musiken till godo, men sedan stannar inför denna argumentation, då ber jag att få erinra därom, att musiken ju anses vara en gudomlighet, och man kan ju inte vänta, att en sådan skall uppträda som en inregistrerad firma eller juridisk person. Det måste finnas något mänskligt organ på ett lägre plan, som företräder ändamålet. Och det är just vad som är förhållandet 1 detta fall.</w:t>
        <w:br/>
        <w:br/>
        <w:t>Såsom ett exempel på, hur man kan driva ett formellt betraktelsesätt, som jag tycker, in i det absurda, skall jag ta vad man sökt få fram genom vittnesförhör angående Svedboms ställning just till konserthusstiftelsen. Jag säger, att jag inte klandrar, att den, som å ämbetets vägnar här har att föra talan, söker att få all den klarhet, som kan åstadkommas, men jag fäster uppmärksamheten på de besynnerliga resultat, vartill man kommer. Man ställer den frågan: Kan ni försäkra, att Erik Svedbom visste, vad Stockholms konserthusstiftelse var? Och på den frågan svaras nej. Det finner jag mycket naturligt. Jag skulle, mina herrar, tro, att om vi frågade litet till mans i den här kammaren, så skulle det vara ytterst få, som känna skillnaden mellan konserthusföreningen, som har hand om konserterna, och konserthusstiftelsen, som driver konserthuset och därigenom helt orkesterverksamheten. Vi skulle kunna göra det tankeexperimentet, mina herrar, att en donator, som i hela sitt liv har haft förmånen att tillhöra den kategori, som har fullt och sunt förstånd i sitt bruk, hade gjort en motsvarande donation och att man efteråt hade börjat interpellera hans anhöriga och närstående: Är det säkert, att denne donator hade reda på vad konserthusstiftelsen var för någonting? Det är mycket sannolikt, att de då skulle säga precis som i detta fall: Nej, det kunna vi icke försäkra. Vad vi kunna säga är, att vi äro övertygade om, att han ville lämna medlen till ett musikändamål och därjämte ett musikändamål, sådant det bedrives i konserthusföreningen och konserthuset. Men det där om stiftelsen, det kan man inte försäkra.</w:t>
        <w:br/>
        <w:br/>
        <w:t>Ja, jag läser nu vidare i departementschefens yttrande, och det är ju på detta utskottet grundar sitt avslag. Sedan departementsechefen kommit så långt han kan komma, så fortsätter han: »...det ändamål, konserthusstif-</w:t>
        <w:br/>
        <w:br/>
        <w:t>telsen avser att främja, stått Erik Svedbom nära; om stiftelsen som sådan kan detta ej sägas. Här må ock anmärkas, att utredningen ej med säkerhet ger vid handen, huruvida Erik Svedbom överhuvud ägt någon uppfattning om konserthusets existens.» Ja, jag anför detta som exempel på vart man kan komma, om man på en sådan här punkt anlägger ett mycket formellt betraktelsesätt. Jag drar av det där tankeexperimentet med en annan donator den slutsatsen, mina herrar, att på en beklagansvärd människa, som i vissa viktiga stycken inte är vid sina sinnens fulla bruk, ställer man vida större anspråk, att han vid ett testamentariskt förordnande skall i detalj ha haft reda på allt, som står i det papperet, och den konkreta motsvarigheten till vad som står i det papperet, än de anspråk man ställer på oss litet var. Det förefaller mig ändå vara litet för långt drivet i fråga om att lägga bevisbördan på dem, som mena, att Svedboms yttersta önskan borde mötas med hänsyn från riksdagens sida.</w:t>
        <w:br/>
        <w:br/>
        <w:t>Jag skall inte tala något sentimentalt här om, att en människas yttersta önskan bör mötas med respekt även om det skulle vara en människa, som det är vissa skavanker på i fråga om vad man kallar fullt och sunt förstånd. Jag tillåter mig bara framhålla, att respekten borde väga lika tungt. om det gäller en önskan att tillgodose ett allmänt kulturintresse, som om det gäller att tillgodose, ett, gärna för mig, mycket berättigat enskilt försörjningsintresse.</w:t>
        <w:br/>
        <w:br/>
        <w:t>För min del har jag nu kommit till den uppfattningen, att man skulle handla riktigt, om från statsmakternas sida här visades den billighet, som ligger i ett avstående från ett visst belopp av dessa arvsmedel, och det är på dessa grunder, herr talman, som jag, för att det inte skall bli alltför många yrkanden här, förenar mig med herr Oscar Olsson i det av honom framställda yrkandet.</w:t>
      </w:r>
    </w:p>
    <w:p>
      <w:pPr>
        <w:pStyle w:val="Heading2"/>
      </w:pPr>
      <w:r>
        <w:t>3. Karl Ekman (Första kammarens nationella parti, man)</w:t>
      </w:r>
    </w:p>
    <w:p>
      <w:r>
        <w:rPr>
          <w:b w:val="0"/>
        </w:rPr>
        <w:t xml:space="preserve">Herr talman, mina herrar! Jag skall nu inte yttra mig om förslaget att avstå någon del av den Svedbomska kvarlåtenskapen till Stockholms konserthus. Den föregående ärade talaren har därom redan uttalat sig på ett sätt, som jag i huvudsak kan instämma i. Däremot vill Jag varmt förorda, att ur denna kvarlåtenskap livräntor måtte beredas åt de ifrågavarande personerna, och vad särskilt livräntorna till </w:t>
      </w:r>
      <w:r>
        <w:rPr>
          <w:b/>
        </w:rPr>
        <w:t>fröken²</w:t>
      </w:r>
      <w:r>
        <w:rPr>
          <w:b w:val="0"/>
        </w:rPr>
        <w:t xml:space="preserve"> Wimmercranz och </w:t>
      </w:r>
      <w:r>
        <w:rPr>
          <w:b/>
        </w:rPr>
        <w:t>hennes²</w:t>
      </w:r>
      <w:r>
        <w:rPr>
          <w:b w:val="0"/>
        </w:rPr>
        <w:t xml:space="preserve"> </w:t>
      </w:r>
      <w:r>
        <w:rPr>
          <w:b/>
        </w:rPr>
        <w:t>syster²</w:t>
      </w:r>
      <w:r>
        <w:rPr>
          <w:b w:val="0"/>
        </w:rPr>
        <w:t xml:space="preserve">, </w:t>
      </w:r>
      <w:r>
        <w:rPr>
          <w:b/>
        </w:rPr>
        <w:t>fru²</w:t>
      </w:r>
      <w:r>
        <w:rPr>
          <w:b w:val="0"/>
        </w:rPr>
        <w:t xml:space="preserve"> Bergquist, beträffar, har jag med tillfredsställelse funnit, att icke mindre än åtta av utskottets ledamöter ansett, att livräntorna borde kunna sättas något högre än Kungl. Maj:t föreslagit.</w:t>
        <w:br/>
        <w:br/>
        <w:t xml:space="preserve">De ifrågavarande livräntetagarna, </w:t>
      </w:r>
      <w:r>
        <w:rPr>
          <w:b/>
        </w:rPr>
        <w:t>fröken²</w:t>
      </w:r>
      <w:r>
        <w:rPr>
          <w:b w:val="0"/>
        </w:rPr>
        <w:t xml:space="preserve"> Wimmercranz och </w:t>
      </w:r>
      <w:r>
        <w:rPr>
          <w:b/>
        </w:rPr>
        <w:t>fru²</w:t>
      </w:r>
      <w:r>
        <w:rPr>
          <w:b w:val="0"/>
        </w:rPr>
        <w:t xml:space="preserve"> Bergquist, äro i stort behov av understöd, enligt vad jag personligen känner till. De voro den avlidne Erik Svedboms närmaste arvingar. Hade han dött endast några månader tidigare, så hade de varit lagligen berättigade till hela arvet efter honom. De ha under en lång tid stått i personlig förbindelse med den Svedbomska familjen och ha de senare åren mottagit årliga understöd från Erik Svedbom. Det är, synes det mig, en enkel gärd av rättvisa och billighet, att detta understöd icke undandrages dem under de sista återstående åren av deras liv. </w:t>
      </w:r>
      <w:r>
        <w:rPr>
          <w:b/>
        </w:rPr>
        <w:t>FrökenWimmercranz²</w:t>
      </w:r>
      <w:r>
        <w:rPr>
          <w:b w:val="0"/>
        </w:rPr>
        <w:t xml:space="preserve"> är redan 74 år och </w:t>
      </w:r>
      <w:r>
        <w:rPr>
          <w:b/>
        </w:rPr>
        <w:t>hennes²</w:t>
      </w:r>
      <w:r>
        <w:rPr>
          <w:b w:val="0"/>
        </w:rPr>
        <w:t xml:space="preserve"> </w:t>
      </w:r>
      <w:r>
        <w:rPr>
          <w:b/>
        </w:rPr>
        <w:t>syster²</w:t>
      </w:r>
      <w:r>
        <w:rPr>
          <w:b w:val="0"/>
        </w:rPr>
        <w:t xml:space="preserve">, </w:t>
      </w:r>
      <w:r>
        <w:rPr>
          <w:b/>
        </w:rPr>
        <w:t>fru²</w:t>
      </w:r>
      <w:r>
        <w:rPr>
          <w:b w:val="0"/>
        </w:rPr>
        <w:t xml:space="preserve"> Bergquist, 67 år. Denna höga ålder och omöjligheten för dem att numera genom något eget arbete förbättra sin ekonomiska ställning motivera mer än väl den ståndpunkt, som herr Kvarnzelius och hans medreservanter ha intagit, då de föreslå, att livräntorna till </w:t>
      </w:r>
      <w:r>
        <w:rPr>
          <w:b/>
        </w:rPr>
        <w:t>fröken²</w:t>
      </w:r>
      <w:r>
        <w:rPr>
          <w:b w:val="0"/>
        </w:rPr>
        <w:t xml:space="preserve"> Wimmercranz och </w:t>
      </w:r>
      <w:r>
        <w:rPr>
          <w:b/>
        </w:rPr>
        <w:t>fru²</w:t>
      </w:r>
      <w:r>
        <w:rPr>
          <w:b w:val="0"/>
        </w:rPr>
        <w:t xml:space="preserve"> Bergquist måtte höjas med 50 kronor i månaden, vilket gör en årlig livränta till </w:t>
      </w:r>
      <w:r>
        <w:rPr>
          <w:b/>
        </w:rPr>
        <w:t>fröken²</w:t>
      </w:r>
      <w:r>
        <w:rPr>
          <w:b w:val="0"/>
        </w:rPr>
        <w:t xml:space="preserve"> Wimmercranz av 1,800 kronor och till </w:t>
      </w:r>
      <w:r>
        <w:rPr>
          <w:b/>
        </w:rPr>
        <w:t>fru²</w:t>
      </w:r>
      <w:r>
        <w:rPr>
          <w:b w:val="0"/>
        </w:rPr>
        <w:t xml:space="preserve"> Bergquist av 2,400 kronor.</w:t>
        <w:br/>
        <w:br/>
        <w:t>Jag yrkar således härutinnan bifall till det högre livräntebelopp, som föreslagits i den av herr Kvarnzelius m. fl. avgivna reservationen.</w:t>
      </w:r>
    </w:p>
    <w:p>
      <w:pPr>
        <w:pStyle w:val="Heading2"/>
      </w:pPr>
      <w:r>
        <w:t>4. Martin Svensson (–, man)</w:t>
      </w:r>
    </w:p>
    <w:p>
      <w:r>
        <w:rPr>
          <w:b w:val="0"/>
        </w:rPr>
        <w:t>Herr talman! Den förste ärade talaren ville redan från början, att från debatten skulle avföras den frågan, om testamentet var berättigat och lagligt eller inte, och jag vill gärna i min mån efterkomma denna hans uppmaning. Men motionären, herr Sandler, har så länge, skarpsinnigt och vältaligt uppehållit sig vid det spörsmålet, att jag, då jag satt och hörde honom, ändå gjorde den reflexionen, att på det sätt, som från hans sida argumenterades, skulle man ju alltid kunna argumentera, när det gäller, huruvida en sådan person med defekta själsförmögenheter och därjämte omyndig skulle få göra testamentariskt förordnande eller icke. Men vi ha ju genom arvslagen bestämmelser i det fallet, och här är ju saken fullständigt klar, att arvlåtaren inte kunde göra testamente.</w:t>
        <w:br/>
        <w:br/>
        <w:t>Då är frågan den, om han stått nära de orkesterföreningar, som man här föreslår skulle få del av arvet. Departementschefen har uttalat, att Svedbom ägde musikaliskt intresse och själv var musikalisk, men han kan inte komma så långt, att det motiverar, att Stockholms konserthusstiftelse får det belopp, som den gjort framställning om. Då utvidga motionärerna frågan och göra framställning om, att även några andra föreningar skola få del av arvet. Jag tycker ändå, att om man såsom departementschefen med rätta är tveksam, huruvida den avlidne stått Stockholms konserthusstiftelse nära, så måste man vara ännu mera tveksam, när det gäller de övriga föreningarna, som skulle få del av arvet. Den som läser motionen kan väl ändå inte värja sig för den misstanken, att denna utvidgning skett mera för att få medintressenter här i kammaren för att stödja själva huvudförslaget om 500,000 kronor till Stockholms konserthus.</w:t>
        <w:br/>
        <w:br/>
        <w:t>Jag har ju inte känt arvlåtaren, men även om han för sin egen del haft musikaliska intressen, så är ju därmed inte sagt, att han ägt förmåga att intressera sig för att ge andra del av musiken, och det är väl ändå det, som är huvudfrågan, när man här säger, att han stått det högre musiklivet nära och velat främja dess ändamål. Frågan är ju den, om hans musikintresse endast sträckte sig till honom själv eller om han också hade intresse av att främja musiklivet för andra. Jag har nu kommit fram till, att han inte stått dessa föreningar och stiftelser nära på det sättet, att man av billighetsskäl bör lämna sitt bifall till motionerna.</w:t>
        <w:br/>
        <w:br/>
        <w:t>Om man sätter sig in i frågan och tänker mera kallt på den än vad de föregående talarna gjort, så stå vi väl ändå inför det spörsmålet: Skall riksdagen, när den en gång har beslutat att av de medel, som genom den nya arvslagen tillfalla staten, avsätta en fond till barns och ungdoms fostran, första gången det förekommer, att ett större arv tillfaller arvsfonden, vika bort från detta ändamål och tillgodose helt andra ändamål, som i och för sig kunna vara behjärtansvärda? Här gäller valet: Skola vi reservera medlen och stärka arvsfonden, som ännu är svag och har ringa tillgångar, eller skola vi spilla bort dessa medel och strö ut dem, såsom motionärerna ha föreslagit, inte i främsta rummet till musiklivets främjande utan till en pensionsfond för vissa vid Stockholms konserthus anställda befattningshavare? I valet mellan dessa två alternativ förefaller det mig tydligt, att det ändamål som riksdagen avsett arvsfonden för, är betydligt viktigare än det ändamål, som det här är frågan om att anslå medel till.</w:t>
        <w:br/>
        <w:br/>
        <w:t>Jag tror inte heller, att det föreligger så starka skäl att anslå medel till musiklivets höjande, som såväl herr Oscar Olsson som herr Sandler gjort gällande. Då lotterimedlen nyligen fördelades, fingo teater, musik och konst 1,315,000 kronor, varav Sveriges orkesterföreningars riksförbund 80.000 kronor och Konsertföreningen i Stockholm 145,000 kronor. Jag tror, att musiken har blivit ganska väl tillgodosedd därigenom. Då ha vi nog vid andra till-</w:t>
        <w:br/>
        <w:br/>
        <w:t>fällen, då vi debatterat om, hur arvsfonden skulle användas, haft starkare skäl att hjälpa, än vi ha i detta fall.</w:t>
        <w:br/>
        <w:br/>
        <w:t xml:space="preserve">Om jag alltså kommit till det resultatet, att det finns mycket svaga skäl att anslå medel till Stockholms konsertförening och de övriga orkesterföreningarna, så vill jag å andra sidan erkänna, att det finns större skäl att biträda den andra reservationen, nämligen att i någon mån höja livräntorna för arvlåtarens två sysslingar, </w:t>
      </w:r>
      <w:r>
        <w:rPr>
          <w:b/>
        </w:rPr>
        <w:t>fröken²</w:t>
      </w:r>
      <w:r>
        <w:rPr>
          <w:b w:val="0"/>
        </w:rPr>
        <w:t xml:space="preserve"> Wimmercranz och </w:t>
      </w:r>
      <w:r>
        <w:rPr>
          <w:b/>
        </w:rPr>
        <w:t>fru²</w:t>
      </w:r>
      <w:r>
        <w:rPr>
          <w:b w:val="0"/>
        </w:rPr>
        <w:t xml:space="preserve"> Bergquist. Men i detta fall har ju Kungl. Maj:t efter utredning av kammaradvokatfiskalsämbetet kommit fram till en avvägning av dessa livräntor och stannat för beloppet 1,200 kronor, respektive 1,800 kronor. Jag vill också erinra om, att </w:t>
      </w:r>
      <w:r>
        <w:rPr>
          <w:b/>
        </w:rPr>
        <w:t>fröken²</w:t>
      </w:r>
      <w:r>
        <w:rPr>
          <w:b w:val="0"/>
        </w:rPr>
        <w:t xml:space="preserve"> Wimmercranz har en pension från annat håll på något över 1,800 kronor plus dyrtidstillägg, så att </w:t>
      </w:r>
      <w:r>
        <w:rPr>
          <w:b/>
        </w:rPr>
        <w:t>hennes²</w:t>
      </w:r>
      <w:r>
        <w:rPr>
          <w:b w:val="0"/>
        </w:rPr>
        <w:t xml:space="preserve"> inkomst skulle gå upp till minst 3,000 kronor. Jag tror därför, att det inte är frågan om något nödläge, utan att dessa damer erhålla en pension, som rätt väl motsvarar eller till och med ligger 1 överkant av de pensionsbelopp, som vid andra tillfällen, då det gällt att av samma skäl som här avstå från danaarv eller dela ut pensioner till änkor, av riksdagen brukat beviljas.</w:t>
        <w:br/>
        <w:br/>
        <w:t xml:space="preserve">Om man går in för denna reservation, så kommer det beslutet att i framtiden både en gång och flera gånger åberopas av välvilliga motionärer, som vilja ha höjning av något livräntebelopp. Jag vill också erinra, att vad som reservationsvis föreslagits rubbar den anordning i bokföringen, som är avsedd genom Kungl. Maj:ts förslag. Där har föreslagits att ett kapital av 260,000 kronor skall avskiljas till särskild förvaltning och förräntas efter 4!/&gt; procent, att avkastningen, 10,400 kronor, skall utgå till livräntor och beloppet inte tillfalla arvsfonden, förrän i den mån livräntetagarna avgå med döden. Men om man går in för reservationen, så blir det till dessa </w:t>
      </w:r>
      <w:r>
        <w:rPr>
          <w:b/>
        </w:rPr>
        <w:t>fröken²</w:t>
      </w:r>
      <w:r>
        <w:rPr>
          <w:b w:val="0"/>
        </w:rPr>
        <w:t xml:space="preserve"> Wimmercranz och </w:t>
      </w:r>
      <w:r>
        <w:rPr>
          <w:b/>
        </w:rPr>
        <w:t>fru²</w:t>
      </w:r>
      <w:r>
        <w:rPr>
          <w:b w:val="0"/>
        </w:rPr>
        <w:t xml:space="preserve"> Bergquist utbetalat ur två olika kassor, dels räntan på de 260,000 kronorna och dels det återstående beloppet. som kommer att uttagas ur det kapital som överlämnats till arvsfonden. Det finner jag inte vara fullt riktigt, utan om reservationen skall bifallas, bör man höja kapitalbeloppet med 30,000 kronor till 290,000 kronor.</w:t>
        <w:br/>
        <w:br/>
        <w:t>Jag vill slutligen också påpeka, att andra kammaren redan med en icke obetydlig majoritet antagit statsutskottets förslag, och om nu första kammaren stannar vid ett annat beslut, så ha vi att vänta en gemensam votering.</w:t>
        <w:br/>
        <w:br/>
        <w:t>Herr talman! Jag skall för min del be att få yrka bifall till statsutskottets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