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700</w:t>
      </w:r>
    </w:p>
    <w:p>
      <w:r>
        <w:rPr>
          <w:b/>
        </w:rPr>
        <w:t xml:space="preserve">Datum: </w:t>
      </w:r>
      <w:r>
        <w:t>1932-02-05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Albert Bergström (Socialdemokraterna, man)</w:t>
      </w:r>
    </w:p>
    <w:p>
      <w:r>
        <w:rPr>
          <w:b w:val="0"/>
        </w:rPr>
        <w:t xml:space="preserve">Utskottet har, som det ju synes i utlåtandet, anfört två skäl för sitt avslagsyrkande på </w:t>
      </w:r>
      <w:r>
        <w:rPr>
          <w:b/>
        </w:rPr>
        <w:t>fröken²</w:t>
      </w:r>
      <w:r>
        <w:rPr>
          <w:b w:val="0"/>
        </w:rPr>
        <w:t xml:space="preserve"> Hesselgrens motion, dels att de av Alma Rudelius” kusiner gjorda framställningarna om att arvet efter </w:t>
      </w:r>
      <w:r>
        <w:rPr>
          <w:b/>
        </w:rPr>
        <w:t>henne²</w:t>
      </w:r>
      <w:r>
        <w:rPr>
          <w:b w:val="0"/>
        </w:rPr>
        <w:t xml:space="preserve"> skulle till dem efterskänkas icke föranlett någon Kungl. Maj:ts åtgärd, dels att varken vid domstolsförhör eller eljes något framkommit, som giver stöd åt den uppfattningen, att Alma Rudelius haft för avsikt att giva sina kusiner något av sin kvarlåtenskap. Jag och mina medreservanter ha icke blivit övertygade av dessa utskottsmajoritetens skäl.</w:t>
        <w:br/>
        <w:br/>
        <w:t>I lagen om arv heter det i 5 kap. 3 $: »Arv, som tillfallit fonden (arvsfonden) må, där det med hänsyn till omständigheterna får anses billigt, av Konungen med riksdagens samtycke helt eller delvis avstås till arvlåtarens skyldeman eller annan, som stått arvlåtaren nära.» Alltså är det billighetsskälen, som skola vara den avgörande faktorn vid avstående av arvsfondens rätt till arv.</w:t>
        <w:br/>
        <w:br/>
        <w:t xml:space="preserve">I det föreliggande fallet finnas klart och tydligt billighetsskäl. Sökanden, som motionen avser, är skyldeman till arvlåtaren och uppfyller alltså även villkoret att ha stått arvlåtaren nära. </w:t>
      </w:r>
      <w:r>
        <w:rPr>
          <w:b/>
        </w:rPr>
        <w:t>Hon²</w:t>
      </w:r>
      <w:r>
        <w:rPr>
          <w:b w:val="0"/>
        </w:rPr>
        <w:t xml:space="preserve"> är sjuttiofem år gammal och fattig och förtjänar ett knappt levebröd med att ge språklektioner. Kammaren har nyss bifallit Kungl. Maj:ts av utskottet tillstyrkta proposition nr 160 och, som jag förmodar, kommer andra kammaren också att fatta samma beslut, varigenom åt Per och Lars Norling avståtts viss arvsrätt efter deras kusin Per Olof Edman. Dessa sökande ha ej heller visat, att arvlåtaren i fråga om sina dispositioner särskilt manifesterat sitt intresse för dem, d. v. s. arvlåtaten har icke heller här visat någon avsikt att giva sina kusiner något av sin kvarlåtenskap. TI detta fall voro förhållandena precis desamma som i det ärende, det nu rör sig om.</w:t>
        <w:br/>
        <w:br/>
        <w:t>Kungl. Maj:ts beslut om avslag på sökandenas ansökningar i fråga om arvet efter Alma Rudelius är meddelat den 2 oktober 1931, och propositionen beträffande avståendet i vissa fall av arvsfondens rätt till arv, bland annat efter Per Olof Edman, d. v. s. den proposition, som nyss bifallits, är daterad den 26 februari 1932. Skulle man inte kunna våga den förmodan, att Kungl. Maj:t numera funnit skäl att tolka arvslagens bestämmelser något vidare och därför ej heller skulle anse det vara så märkligt eller förmätet, om riksdagen skulle anhålla, att Kungl. Maj:t ville taga frågan om arv efter Alma Rudelius under förnyat övervägande.</w:t>
        <w:br/>
        <w:br/>
        <w:t>Kammaradvokatfiskalen har liksom i fallet Edman-Norling tillstyrkt kusinernas ansökan med åberopande av nära släktskap och av billighetsskäl. Utom av kammaradvokatfiskalen har Ellen Macintoshs ansökan tillstyrkts av landshövding Hammarskjöld, och man kan vara övertygad om att de formellt juridiska synpunkterna noga beaktats av dessa båda herrar, ty ingendera av dem är känd för att låta känslosamheten springa bort med det juridiska övervägandet.</w:t>
        <w:br/>
        <w:br/>
        <w:t xml:space="preserve">I statsutskottet gavs en upplysning, att ett vittne vid en rättegång i Gränna om arvet skulle ha under rättegången meddelat, att Alma Rudelius sagt, att </w:t>
      </w:r>
      <w:r>
        <w:rPr>
          <w:b/>
        </w:rPr>
        <w:t>hon²</w:t>
      </w:r>
      <w:r>
        <w:rPr>
          <w:b w:val="0"/>
        </w:rPr>
        <w:t xml:space="preserve"> ej önskade, att </w:t>
      </w:r>
      <w:r>
        <w:rPr>
          <w:b/>
        </w:rPr>
        <w:t>hennes²</w:t>
      </w:r>
      <w:r>
        <w:rPr>
          <w:b w:val="0"/>
        </w:rPr>
        <w:t xml:space="preserve"> släktingar skulle ärva </w:t>
      </w:r>
      <w:r>
        <w:rPr>
          <w:b/>
        </w:rPr>
        <w:t>henne²</w:t>
      </w:r>
      <w:r>
        <w:rPr>
          <w:b w:val="0"/>
        </w:rPr>
        <w:t>. Jag kunde för min del då icke svara på detta eller göra någon invändning däremot, därför att jag hade icke den handling till hands, varur denna upplysning var hämtad, och jag vågade icke lita på mitt minne. Men jag såg sedan efter, då jag fick tag i handlingen. Där står mycket riktigt så, men det står därefter, att vid nästpåföljande rättegångstillfälle återtog detta vittne sitt påstående. Alltså kan det vittnesmålet ej ha något som helst inflytande på denna sak.</w:t>
        <w:br/>
        <w:br/>
        <w:t>Då till allt vad som nu framhållits kommer, att Alma Rudelius avled allenast tjugufem dagar efter det arvslagen trädde i kraft, och det alltså är ett tydligt gränsfall, fastän det formellt juridiskt sett icke kan falla under övergångsbestämmelsen, så synes det mig, att alla skäl tala för att ärendet borde komma till förnyad omprövning.</w:t>
        <w:br/>
        <w:br/>
        <w:t>Jag yrkar bifall till reservationen.</w:t>
      </w:r>
    </w:p>
    <w:p>
      <w:pPr>
        <w:pStyle w:val="Heading2"/>
      </w:pPr>
      <w:r>
        <w:t>2. Ludvig Widell (Första kammarens nationella parti, man)</w:t>
      </w:r>
    </w:p>
    <w:p>
      <w:r>
        <w:rPr>
          <w:b w:val="0"/>
        </w:rPr>
        <w:t>Herr talman! Jag var för min del en motståndare till borttagandet av kusinernas arvsrätt, men sedan en lag i laga ordning är antagen av riksdagen och promulgerad av Kungl. Maj:t, måste den efterlevas. Det är nu fråga om huruvida det finnes skäl att dispensera från denna lag. Det medges ju i lagen möjlighet till viss dispens, om det nämligen gäller efterskän-</w:t>
        <w:br/>
        <w:br/>
        <w:t>kande till förmån för skyldeman eller person, som stått den avlidna nära. Nu</w:t>
        <w:br/>
        <w:br/>
        <w:t>dispositionen är frågan den, om dessa kusiner verkligen kunna sägas 1 lagens mening ha</w:t>
        <w:br/>
        <w:br/>
        <w:t>stått den avlidna nära. Såvitt man vet, har den avlidna haft praktiskt taget ingen beröring med dem. De ha varit så gott som främlingar för varandra under en lång följd av år. Om man skall giva dispens från lagen på grund av billighetsskäl, måste man vara mycket försiktig, ty eljest komma konsekvenserna att bli synnerligen vidlyftiga, och man har all anledning att taga sig till vara för dem.</w:t>
        <w:br/>
        <w:br/>
        <w:t>Nu åberopa reservanterna, och den föregående ärade talaren har gjort detsamma, att det icke endast är billighetsskäl här utan även det skälet, att dödsfallet inträffade så kort tid efter sedan lagen hade trätt i kraft, d. v. s. endast tjugufem dagar efter. Ja, det är sant, men om meningen vid lagens antagande hade varit, att fall, som inträffade någon tid efter dess ikraftträdande, skulle kunna bedömas efter äldre rätt, skulle det naturligtvis ha sagts ifrån i promulgationslagen, men denna säger uttryckligen, att endast sådana fall, som inträffat före lagens ikraftträdande, skola bedömas efter den äldre lagen. Visserligen trädde lagen i kraft först tjugufem dagar före dödsfallet, men den hade då varit promulgerad i ett halvt år och var nog allmänt känd.</w:t>
        <w:br/>
        <w:br/>
        <w:t xml:space="preserve">För min del vill jag ärligt erkänna, att jag var från början i statsutskottet mycket tveksam om detta fall, och det föreföll mig, som om här kunde föreligga skäl att göra ett undantag men då upplystes det i statsutskottet, såsom den föregående ärade talaren nämnde, att vid vittnesförhör inför Gränna rådstuvurätt meddelats, att den avlidna före dödsfallet underrättats, att, därest </w:t>
      </w:r>
      <w:r>
        <w:rPr>
          <w:b/>
        </w:rPr>
        <w:t>hon²</w:t>
      </w:r>
      <w:r>
        <w:rPr>
          <w:b w:val="0"/>
        </w:rPr>
        <w:t xml:space="preserve"> icke upprättat testamente, komme arvet att tillfalla allmänna arvsfonden, och </w:t>
      </w:r>
      <w:r>
        <w:rPr>
          <w:b/>
        </w:rPr>
        <w:t>hon²</w:t>
      </w:r>
      <w:r>
        <w:rPr>
          <w:b w:val="0"/>
        </w:rPr>
        <w:t xml:space="preserve"> hade då förklarat: Ja, det har jag ingenting emot. Detta måste ju tolkas så, att </w:t>
      </w:r>
      <w:r>
        <w:rPr>
          <w:b/>
        </w:rPr>
        <w:t>hon²</w:t>
      </w:r>
      <w:r>
        <w:rPr>
          <w:b w:val="0"/>
        </w:rPr>
        <w:t xml:space="preserve"> ej önskade, att kusinerna skulle erhålla arv.</w:t>
        <w:br/>
        <w:br/>
        <w:t>Nu har den föregående ärade talaren sagt, att detta vittne skulle vid följande rättegångstillfälle ha tagit tillbaka sin vittnesutsaga. Huruvida vittnet gjort detta, vill jag lämna osagt, jag känner ej till den saken. Det har för mig varit obekant, tills jag nu hörde det. Det förefaller mig dock föga troligt, att ett vittne skulle fullständigt taga tillbaka en sådan utsaga. Det hade ju varit att själv bekänna sig ha begått mened, förefaller det mig, och det är ej mycket troligt, att vittnet skulle ha gjort det, utan det har väl endast varit någon rättelse. Emellertid om det förhåller sig så, skulle detta väl möjligen varit ett skäl för att statsutskottet skulle taga denna sak under förnyat övervägande. Men en återremiss är nu fullständigt meningslös, då andra kammaren, efter vad jag erfarit, redan bifallit utskottets förslag och på grund därav frågan om en skrivelse till Kungl. Maj:t är fallen.</w:t>
        <w:br/>
        <w:br/>
        <w:t>Då jag anser, att mycket goda skäl föreligga för statsutskottets hemställan, ber jag att få yrka bifall till densamma.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