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717</w:t>
      </w:r>
    </w:p>
    <w:p>
      <w:r>
        <w:rPr>
          <w:b/>
        </w:rPr>
        <w:t xml:space="preserve">Datum: </w:t>
      </w:r>
      <w:r>
        <w:t>1933-02-22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Trygger (Högerns riksdagsgrupp, man)</w:t>
      </w:r>
    </w:p>
    <w:p>
      <w:r>
        <w:rPr>
          <w:b w:val="0"/>
        </w:rPr>
        <w:t>Det var en talare, som yttrade, att man genom fredspropagandan vill skapa en ny mentalitet, skapa samförstånd, förståelse och välvilja mellan stater och individer. Ja, det är mycket vackert, och för min del skulle jag önska, att man särskilt tänkte på att skapa en dylik mentalitet hos medborgarna i vårt eget land i deras förhållande inbördes. Men därav, att man erkänner, att en sådan mentalitet är av stort värde såväl i förhållandet till andra stater och dess medborgare som till ens egna, följer ju icke, att staten skall understödja en dylik propaganda.</w:t>
        <w:br/>
        <w:br/>
        <w:t xml:space="preserve">En ärad </w:t>
      </w:r>
      <w:r>
        <w:rPr>
          <w:b/>
        </w:rPr>
        <w:t>kvinnlig¹</w:t>
      </w:r>
      <w:r>
        <w:rPr>
          <w:b w:val="0"/>
        </w:rPr>
        <w:t xml:space="preserve"> talare här i kammaren gjorde gällande, att man har att</w:t>
        <w:br/>
        <w:br/>
        <w:t>Anslag till upplysningsarbete för freden. (Forts.) göra ett val här mellan två möjligheter: antingen är fredspropagandan farlig, och då bör man naturligtvis inte understödja den, eller också är den gagnelig, och då är det ens plikt att stödja den så gott man kan. Emellertid äro dessa båda alternativ icke tillräckliga. Det finnes en ytterligare fråga, som man bör göra sig, när man skall besluta sig, om man skall giva ett sådant anslag som detta, och den är: är det behövligt, är det nödvändigt?</w:t>
        <w:br/>
        <w:br/>
        <w:t>Nu är det så, att man söker nedskära det ena anslaget efter det andra, och man söker spara så långt som det är möjligt. Det är enda utvägen att komma över den nuvarande tidens svårigheter, och då är det klart, att man ovillkorligen måste i avseende på detta anslag liksom i avseende å andra undersöka, om det verkligen är nödvändigt att giva ut dessa pengar.</w:t>
        <w:br/>
        <w:br/>
        <w:t>Då har man sagt, att den publikation, som informationsbyrån skickar ut, icke vore mycket värd, ja, somliga kanske tycka, att den är dålig. Jag har fått den hemskickad, och jag har läst den och funnit, att däri flera gånger kunna förekomma mycket bra saker. En del uppsatser ha visserligen varit sådana, att jag för min del icke haft någon behållning av dem, men jag har tänkt mig, att det kan finnas andra, som kunna haft glädje av dem, och i varje fall ha de icke verkat stötande. Jag har icke läst tillräckligt för att kunna giva ett omdöme om allt, som förekommer i denna publikation, ehuru Jag läser den rätt ofta. Men det, som nog mest intresserar, åtminstone mig, är upplysningar om faktiska förhållanden, som man får reda på, förhandlingar, beslut o. s. v., men själva den där, om jag så får säga, propagandan har icke, åtminstone på mig, gjort något kraftigare intryck, men det är ju möjligt, att den gjort det på någon annan. Men även om jag erkänner, att det är en rätt bra publikation, kan jag icke förstå, att staten skall understödja den eller andra publikationer, som äro läsbara. För närvarande läser man i den svenska pressen, än i den ena tidningen och än i den andra, saker som verkligen äro instruktiva och som även beröra frågor, vilka behandlas i denna publikation, som vi tala om. De böra till stor del kunna tillgodose deras behov, som vilja orientera sig på detta område. Ja, vill man ytterligare orientera sig, kan det ju vara bra att läsa ifrågavarande publikation, men jag menar, att det icke hos oss finnes något behov av att stärka fredstanken och på den grund giva ut denna publikation. Det är min bestämda uppfattning. Svenska folket är så fredsvänligt, att det icke kan bli mera fredsvänligt än det redan är. Jag kan icke tänka mig, att det finns en så stor idiot i Sverige, att han icke skulle klart och tydligt inse, att freden för oss är någonting som vi alla böra önska och eftersträva. Varför skall man då giva ut böcker och skriva och bråka så mycket för att övertyga svenska folket om någonting, som det redan har så fullkomligt klart för sig?</w:t>
        <w:br/>
        <w:br/>
        <w:t>Om det däremot vore fråga om att giva ut en publikation på ett främmande språk, avsedd att spridas i hela världen eller i Europa och att Sverige sålunda skulle göra en ytterligare insats i arbetet för freden, så vore det någonting helt annat. Det kanske vore bra att få ett sådant arbete utgivet.</w:t>
        <w:br/>
        <w:br/>
        <w:t>Nu kommer jag in på den anmärkning, som utskottets representant, vilken försvarade utskottets ståndpunkt, gjorde gällande. Han sade, att han tyckte, att det var orimligt, att man icke ville giva denna lilla summa till propaganda för freden, då man önskar giva 280,000 kronor till det frivilliga skytteväsendet och 100,000,000 kronor till försvarsväsendet i allmänhet. Han kunde icke förstå, att man var så njugg här och så rundhänt där. Men det är Just häri som det hos honom föreligger ett missförstånd. Här är det fråga om en propaganda hos oss här hemma för att övertyga oss om något, som vi redan äro övertygade om. När man å andra sidan vill befordra skytteväsendet och när man giver pengar till försvaret, är det för att säkerställa oss mot</w:t>
        <w:br/>
        <w:br/>
        <w:t>Anslag till upplysningsarbete för freden. (Forts.) andra, som ha en helt annan mentalitet och uppfattning än vi ha. Därav, att jag icke vill giva pengar till en fredspropaganda, följer således ingalunda, att jag icke heller bör giva pengar till försvaret och till uppmuntrande av skytteväsendet. I ena fallet riktar man sig inåt och i det andra fallet utåt. Å ena sidan gäller det en propaganda bland dem, som icke behöva övertygas, å andra sidan gäller det ett försvar mot sådana, som vilja angripa vår självständighet.</w:t>
        <w:br/>
        <w:br/>
        <w:t>Herr talman! Jag kan icke komma ifrån att anse, att vi i dessa tider, om icke av andra skäl så dock för att visa, att vi mena allvar med vår sparsamhetsvilja, böra vägra att bevilja detta anslag i år.</w:t>
        <w:br/>
        <w:br/>
        <w:t>Jag ber att få instämma uti den av herr Widell med flera avgivna reservationen.</w:t>
      </w:r>
    </w:p>
    <w:p>
      <w:pPr>
        <w:pStyle w:val="Heading2"/>
      </w:pPr>
      <w:r>
        <w:t>2. Ture Nerman (Socialdemokraterna, man)</w:t>
      </w:r>
    </w:p>
    <w:p>
      <w:r>
        <w:rPr>
          <w:b w:val="0"/>
        </w:rPr>
        <w:t xml:space="preserve">Herr talman! Herr Pauli har anmält sig såsom det gamla galanteriets officiella representant inför fredsgudinnan. Jag skall icke gå in 1 debatt i det fallet, och jag skall icke konkurrera med honom om någon </w:t>
      </w:r>
      <w:r>
        <w:rPr>
          <w:b/>
        </w:rPr>
        <w:t>dam²</w:t>
      </w:r>
      <w:r>
        <w:rPr>
          <w:b w:val="0"/>
        </w:rPr>
        <w:t>, men jag misstänker, att det är två olika damer, vi här tala om. Jag har sagt, att principiellt — för att nu skilja mig från min tillfälliga förbindelse med högern — tror jag icke, att man vinner mycket med en fredspropaganda, som bedrives av ett företag, som får del av detta statsanslag. Skall det vara någon mening med ett dylikt anslag, skall det för det första gå upp till mil- Joner, och för det andra skall man giva åt företag, som bedriva en verkligt radikal propaganda för freden. Om herr Pauli vill med sitt parti lägga fram förslag om beviljande av medel till en fredspropaganda efter socialistiska lin- Jer, har han mitt hela hjärta och min röst.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717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