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718</w:t>
      </w:r>
    </w:p>
    <w:p>
      <w:r>
        <w:rPr>
          <w:b/>
        </w:rPr>
        <w:t xml:space="preserve">Datum: </w:t>
      </w:r>
      <w:r>
        <w:t>1933-02-25</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Mauritz Västberg (Socialdemokraterna, man)</w:t>
      </w:r>
    </w:p>
    <w:p>
      <w:r>
        <w:rPr>
          <w:b w:val="0"/>
        </w:rPr>
        <w:t>Herr talman! Som den barbar jag är, har doktor Torsten Fogelqvists attack mot den högre matematiken väckt genklang 1 min själ. Jag vet inte hur mycket matematik som har fastnat kvar hos herr Nerman, men jag antar, att han åtminstone inte har glömt de fyra räknesätten. Däremot tycks han ha glömt att tillämpa sin färdighet, då det gällt att reformera här i samhället. Jag skall tillåta mig att med hjälp av litet addition titta på den kommunistiska motionen, vari man kräver dels att pensionstillägget skall höjas med 300 kronor och dels att detsamma skall utgå även där inkomsten ej överstiger 1,200 kronor.</w:t>
        <w:br/>
        <w:br/>
        <w:t xml:space="preserve">Vad kostar nu detta projekt? 1931 fanns det 336,612 personer med pensionstillägg. 300 kronor per man och år gör i runt tal 100 miljoner kronor. Det fanns ock 146,363 personer, som endast åtnjöto avgiftspension. Beräkna vi att endast 100,000 av dessa icke kommo upp till en årsinkomst av 1,200 kronor och att de alltså skulle ha i tilläggspension 510 å 525 kronor, om de voro respektive </w:t>
      </w:r>
      <w:r>
        <w:rPr>
          <w:b/>
        </w:rPr>
        <w:t>kvinna¹</w:t>
      </w:r>
      <w:r>
        <w:rPr>
          <w:b w:val="0"/>
        </w:rPr>
        <w:t xml:space="preserve"> eller man, så blir det ytterligare drygt 50 miljoner kronor. Men då motionärerna uppge att medelpensionen nu är endast 154 kronor, så måste man ju även beräkna skillnaden mellan detta belopp och nuvarande maximibelopp för tilläggspensionen, och vi få då minst 20 miljoner kronor till. Det allmännas utgifter för pensionstillägget uppgå för nästa budgetår till minst 65 miljoner kronor. Summerar jag ihop dessa småslantar, kommer jag upp till ett belopp av 235 miljoner kronor, varav tre fjärdedelar på staten.</w:t>
        <w:br/>
        <w:br/>
        <w:t>Var skall finansministern ta denna lilla fickslant? Ty militarismens miljoner ha ju kilbomarna lovat de arbetslösa. Även om man prutar 40 procent på statsrådens löner och herr Nerman fått sparat in 45,000 kronor på hovstallet, så får han svårt att klara skivan. Det blir ju alltid en och annan krona som fattas. Och ändock är ju denna miljonrullning endast början. Ty nästa år skall ingen ha lägre pension än 900 kronor och ingen över 60 år behöva framsläpa sin levnadsafton i hårt arbete utan pension, som det så poetiskt heter i motionen nr IT: 256. Dessutom skall man ha några hundra mil-</w:t>
        <w:br/>
        <w:br/>
        <w:t>Med vad jag sagt har jag inte på något sätt velat ifrågasätta det önskvärda i de framförda kraven. Jag skulle önska både högre pensioner, dyrortsgruppering, slopandet av övergångsbestämmelserna, högre fri inkomst för pensionstillägg och lägre pensionsålder, men jag tror att man måste försöka hålla sig nere på marken och lära sig räkna mera realistiskt. Även mycket måttliga krav komma att kosta det allmänna det dubbla och tredubbla beloppet mot nu, såvitt man ej skall låta de pensionerade själva betala i form av högre avgifter, och jag vill tillåta mig säga, att herr Nermans högre matematik kan knappast rädda oss den dag det blir allvar i denna fråga.</w:t>
        <w:br/>
        <w:br/>
        <w:t>Jag tillåter mig för min personliga del att uttrycka en förhoppning om att denna fråga snart kommer fram och i ett sådant skick, att man kan få en rimlig lösning till stånd, särskilt med hänsyn till att åstadkomma en sänkning av den nuvarande pensionsåldern för att möjliggöra att ungdomen får större utsikter att komma in i det produktiva arbetet, men sådan som Kilbompartiets motion föreligger är det mig alldeles omöjligt att yrka bifall till densamma, så mycket hellre som hela frågan ligger under utredning och det således måste betraktas såsom en ren demonstration att entonigt, år efter år, upprepa denna herr Spångbergs motion i frågan.</w:t>
      </w:r>
    </w:p>
    <w:p>
      <w:pPr>
        <w:pStyle w:val="Heading2"/>
      </w:pPr>
      <w:r>
        <w:t>2. Torsten Lundell (–, man)</w:t>
      </w:r>
    </w:p>
    <w:p>
      <w:r>
        <w:rPr>
          <w:b w:val="0"/>
        </w:rPr>
        <w:t>Herr talman! Motionen om friare ritual är till sin innebörd lika med föregående års motion med undantag av att motionärerna i år hem-</w:t>
        <w:br/>
        <w:br/>
        <w:t>Praktiska skäl tala alltså för att ritualfrågan löses i samband med kyrkohandbokens revision, och ärendet torde ej brådska, då det redan nu finnes möjligheter att variera såväl med olika gudstjänster som med olika ritual. Ett särskilt starkt skäl för frågans uppskjutande är att ett kyrkligt möte med representanter från rikets alla församlingar under den närmaste tiden kommer att hållas, varvid denna fråga torde komma att diskuteras och delvis utredas.</w:t>
        <w:br/>
        <w:br/>
        <w:t>Jag tillåter mig i övrigt hänvisa till reservanternas yttrande och anhåller, herr talman, att få yrka bifall till reservanternas förslag och avslag på utskottets hemställan.</w:t>
      </w:r>
    </w:p>
    <w:p>
      <w:pPr>
        <w:pStyle w:val="Heading2"/>
      </w:pPr>
      <w:r>
        <w:t>3. Karl Sandegård (Socialdemokraterna, man)</w:t>
      </w:r>
    </w:p>
    <w:p>
      <w:r>
        <w:rPr>
          <w:b w:val="0"/>
        </w:rPr>
        <w:t>Herr talman! Jag skall inte tillåta mig att belasta kammarens protokoll med något längre anförande, men jag anser mig skyldig att med några ord ytterligare motivera den motion, som här med någon prutning tillstyrkts av utskottet.</w:t>
        <w:br/>
        <w:br/>
        <w:t>Motionärerna anse, att den väg, det svenska kyrkomötet valt och fortsätter att välja för revision av våra gamla ritual, är olämplig, fast den tycks vara svår att överge. Det är för resten samma väg, som en gång ledde till ett kyrkomötes beslut i psalmboksfrågan, vilket riksdagen fick rätta till. Man kanske kan få lov att säga så. Just den, som bevarar en smula pietet för gamla former, för allt som med ålderns och det hävdvunnas rätt kräver varsamhet och hänsyn och respekt, är oförmögen att fatta, hur särskilt bildat konservativt folk ett ögonblick kan vara med om att stödja en reformiver från kyrkomötets sida, som i realiteten innebär tendenser, rakt motsatta en sund och befogad konservatism. När vi fingo den handbok, som bär årtalet 1811, godkänd ej allenast av prästeståndet utan också som sig borde av de övriga stånden, åtföljdes den av en kungl. kungörelse, vari bland annat följande ord stå att läsa: »Vid själva språket har man varit angelägen att bibehålla allt, som genom</w:t>
        <w:br/>
        <w:br/>
        <w:t>Vi ha sedan fått inte bara en handbok av 1894 utan också ett rätt stort antal förbättrade upplagor av denna handbok, vilka såvitt jag förstår i mycket ofullkomlig grad vittna om iakttagande av t. ex. de riktlinjer och principer för detta reformarbete, som 1811 uttalades. Jag skall tillåta mig ge ett par tre exempel för belysning av frågan.</w:t>
        <w:br/>
        <w:br/>
        <w:t>Det fanns i den gamla 1811 års handbok en föreskrift om hur tacksägelsen för de avlidna kunde ske: En ny påminnelse om vår dödlighet lämnas oss i dag, då för denna kristeliga församling tillkännagies, att den Högste behagat, efter sitt allvisa råd, hädankalla... Det fanns ju folk, som t. ex. tog sitt liv själva, och man kan förstå, att formuleringen »den Högste behagat, efter sitt allvisa råd, hädankalla» möjligen kunde motivera en ändring av det uttrycket. Men man kunde ju låtit det lyda t. ex. »att den Högste efter sitt allvisa råd låtit med döden avgå», i stället för detta rent kontorsmässiga »... då härmed tillkännagives, att följande personer avlidit». Och efter det tacksägelsen skett fanns i den gamla handboken följande ord: »Med undergivenhet för Guds behag vörde vi Hans skickelse och önske oss nåd att så tänka på vår egen förestående bortgång, att, när döden kallar oss, vi må vara beredde till en salig hädanfärd.» — För min del får jag säga, att jag tycker det var vackert, och Jag är verkligen oförmögen att begripa, varför vackra ord nödvändigtvis skola tas bort, när man reviderar, därför att de äro gamla!</w:t>
        <w:br/>
        <w:br/>
        <w:t>På tal om den allmänna kyrkobönen fanns i 1811 års handbok en till alternativt bruk medgiven bön, ur vilken jag skall tillåta mig att läsa några rader, och jag ber herrarna, som förmodligen gå i kyrkan ibland och höra den allmänna kyrkobönen även i dess splitter nyaste formulering, göra i sitt stilla sinne en jämförelse: »Vi tacka dig, allsmäktige himmelske fader, för all den nåd och alla de välgärningar, som vi genom din faderliga försorg dagligen röne, för allt det goda våra själar njutit, för varje salig stund, då vi fått överlämna oss åt betraktandet av din oändliga kärlek, för alla goda föresatser, som du uppväckt inom oss och för varje nyttig och dig behaglig gärning, vi kunnat åstadkomma genom din nåd. Vi tacke dig för det tålamod, varmed du oss fördragit, för den faderliga långmodighet, varmed du översett våra brister, dem vi bekänne och ångre av hjärtat, för varje glad stund du oss skänkt, den vi i din fruktan lycklige fått uppleva med våra närmaste och vänner, för all hjälp och försorg, som vi även i det lekamliga erfarit, då vi under din välsignelse ostörde och med framgång fått sköta vår kallelses värv, att intet gott felat oss, att vi ägt hälsa och krafter, och i vår anletes svett kunnat både förvärva och njuta vårt dagliga bröd.» Och till sist heter det: »Var en fader för alla människor, för de glada och bedrövade, för de rika och fattiga, för de lyckliga och de övergivna, för änkor och faderlösa, hjälp, trösta och vederkvick alla, som</w:t>
        <w:br/>
        <w:br/>
        <w:t>hoppas på dig. — — —» I sagda handbok fanns också i vigselritualet en del ord, som man naturligtvis — Jag ber om ursäkt för att jag använder så vanvördiga ord — måste fingra</w:t>
        <w:br/>
        <w:br/>
        <w:t xml:space="preserve">på. Jag fäster inte allt för stort avseende vid sådana ändringar, som skett i sista upplagan av handboken, som att man utbytt orden »så skicka sig» — det gäller </w:t>
      </w:r>
      <w:r>
        <w:rPr>
          <w:b/>
        </w:rPr>
        <w:t>hustrun²</w:t>
      </w:r>
      <w:r>
        <w:rPr>
          <w:b w:val="0"/>
        </w:rPr>
        <w:t xml:space="preserve"> — »att </w:t>
      </w:r>
      <w:r>
        <w:rPr>
          <w:b/>
        </w:rPr>
        <w:t>hon²</w:t>
      </w:r>
      <w:r>
        <w:rPr>
          <w:b w:val="0"/>
        </w:rPr>
        <w:t xml:space="preserve"> må täckas den make, vilken </w:t>
      </w:r>
      <w:r>
        <w:rPr>
          <w:b/>
        </w:rPr>
        <w:t>hon²</w:t>
      </w:r>
      <w:r>
        <w:rPr>
          <w:b w:val="0"/>
        </w:rPr>
        <w:t xml:space="preserve"> given är till hjälp», mot — hör — skillnaden! så skicka sig, att </w:t>
      </w:r>
      <w:r>
        <w:rPr>
          <w:b/>
        </w:rPr>
        <w:t>hon²</w:t>
      </w:r>
      <w:r>
        <w:rPr>
          <w:b w:val="0"/>
        </w:rPr>
        <w:t xml:space="preserve"> må bliva honom till hjälp. Det är kyrkomötets metod för språklig reform och revidering av våra kyrkliga böcker! Jag fäster inte heller större avseende vid en sådan liten ändring, som följande: »ty ligger det makt uppå att bedja Gud om en sådan </w:t>
      </w:r>
      <w:r>
        <w:rPr>
          <w:b/>
        </w:rPr>
        <w:t>maka³</w:t>
      </w:r>
      <w:r>
        <w:rPr>
          <w:b w:val="0"/>
        </w:rPr>
        <w:t>», vilket måste ändras till: »därför ligger det makt uppå». Är inte det gamla svenska ty ändå vackert?</w:t>
        <w:br/>
        <w:br/>
        <w:t>Däremot vill jag påpeka en annan liten ändring i vigselritualet, som är betecknande för det sätt, på vilket man fingrar på våra gamla ritual. 1811 års kyrkohandbok hade en vigselbön, som även togs med i 1894 års handbok. Denna bön lyder bland annat på följande sätt: »Vi bedja Dig, se nådeligen till det förbund, vilket dessa Dina tjänare med detta vårdtecken inför Dig besegla.» Av vilken anledning tog man bort uttrycket »dessa Dina tjänare»? Vad är det för folk, som pretendera på, att man icke får säga på gammalt svenskt maner, inte kalla dessa två människor, som komma och begära kyrkans välsignelse och stadfästelse av det äkta förbundet, för Guds tjänare? Man har i stället fått befallning att läsa: »detta brudpar». I bönen längre fram i samma ritual heter det: »Vi bedja, att Du värdes uppfylla dessa Dina tjänares hjärtan med Din Helige Ande.» Detta har utbytts mot »dessa makars hjärtan». Förmodligen kommer nästa ändring att bli: »dessa människors hjärtan», ty då har man inte sagt för mycket!</w:t>
        <w:br/>
        <w:br/>
        <w:t>Den, som uppmärksamt tagit del av kyrkomötets revisionsarbete under årens lopp, kan knappast ha fått det intrycket, att man varit så angelägen att bevara allt, »som genom ett långvarigt bruk, genom värdighet och styrka vunnit rättmätig helgd». Det kan inte vara eller bli annorlunda. Kyrkomötet har aldrig tid att på behörigt sätt handlägga dessa viktiga frågor. Det förbjudes av den orimligt korta tid ett kyrkomöte har till sitt förfogande, en knapp månad. Vi behöva en kyrklig överstyrelse, och den måste väl komma så småningom.</w:t>
        <w:br/>
        <w:br/>
        <w:t>Det har emellertid vid behandlingen av denna fråga i riksdagen bland annat yttrats, att ett av de avgörande skälen för att inte lyssna till en framställning av föreliggande slag är det, att det icke försports någon allmännare önskan ute från de svenska kyrkoförsamlingarna om några nya ritual. Jag tycker ett sådant påstående är ganska förvånande, om man inte alldeles glömt bort, att kyrkomötet ju skall vara ett uttryck just för det s. k. kyrkfolket, de svenska kyrkoförsamlingarna i den riktigt rätta meningen. Då har kyrkomötet tydligtvis länge varit ute i ogjort väder. För att belysa detta skall jag erinra om några enkla fakta, som vem som helst kan upptäcka redan vid en genomläsning av något register över kyrkomötets verksamhet sedan 1868. Jag skall därvid inte taga med alla i kyrkomötet väckta motioner om handboksändringar och handboksrevision utan endast vad kyrkomötet självt beslutat. Det kan ju ha sitt värde.</w:t>
        <w:br/>
        <w:br/>
        <w:t>Redan 1868, alltså det första kyrkomötet, som hölls i Sverige, var man färdig att skriva till Kungl. Maj:t och begära ändringar i handboken även 1 kapitel, som innehålla ritual för allmän gudstjänst. Nästa kyrkomöte, som hölls år 1873, beslöt, sedan det funnit sådana oegentligheter förekomma i 3 och 5 kap. i handboken, att de väckt och fortfarande väckte oro och bekymmer särskilt inom fäderneslandets norra del, skrivelse om ändring i kap. 3 och ändringar i kap. 5, 6, 7 och &amp; samt i kap. 1, där i trosbekännelsen orden »kristelig kyrka» utbyttes mot »allmännelig kyrka». 1878 års kyrkomöte beslöt hemställa om vidtagande av nödiga åtgärder för uppgörande och framläggande för kyrkomötet av förslag till reviderad handbok. 1883 års kyrkomöte är, såvitt jag kan se, det enda kyrkomöte, som icke gjort någon framställning i dessa ärenden, men däremot väcktes därvid motioner om påskyndande av handbokens allmänna revision samt — oberoende av denna revision — vidtagande av vissa partiella förändringar. 1888 års kyrkomöte beslöt ny hemställan om åtgärder för en allmän revision av handboken med iakttagande av vissa önskemål. 1893 godkände kyrkomötet ett av en särskild kungl. kommission avgivet nytt förslag till handbok med ändringar i alla kapitel utom i kap. 4 och 8. 1898 års kyrkomöte beslöt en ändring av kap. 4, gällande konfirmation. 1903 års kyrkomöte beslöt bland annat vissa ändringar i kapitlen</w:t>
        <w:br/>
        <w:br/>
        <w:t xml:space="preserve">Nathan Söderblom tecknade en gång bilden av en Sveriges kyrka, där det var högt 1 taket för andens och tankarnas flykt och vitt rum mellan väggarna för alla lynnen, sinnen, rörelser och behov, som på något sätt ville höra </w:t>
      </w:r>
      <w:r>
        <w:rPr>
          <w:b/>
        </w:rPr>
        <w:t>henne²</w:t>
      </w:r>
      <w:r>
        <w:rPr>
          <w:b w:val="0"/>
        </w:rPr>
        <w:t xml:space="preserve"> till. Även motionärerna vilja i all anspråkslöshet gärna vara med om något försök att förverkliga den tanken, vara med om att bereda ett tills vidare blygsamt rum i kyrkan och vid den svenska kyrkans högmässa också för dem, som icke kunna uttrycka sin tro och sin personliga upplevelse med samma ord och på precis samma sätt som de ortodoxa. Vi vilja inte föregripa en revision, som syftar till enhetliga nya ritual för gudstjänst och heliga handlingar. Men vi tro det vara riktigt och påkallat, att en sådan revision kommer till stånd först efter en tid av praktiska försök ute i församlingarna med prästernas hjälp.</w:t>
        <w:br/>
        <w:br/>
        <w:t>Ett par ord också om ännu en synpunkt, som berördes något i fjol, där vi motionärer också mena oss hava en motivering för vår framställning. Vid ett kyrkomöte — jag minns inte vilket år — förelåg en motion av biskop</w:t>
        <w:br/>
        <w:br/>
        <w:t xml:space="preserve">Danell därom, att man skulle få inleda trosbekännelsens avläggande vid högmässogudstjänst med en ingress av viss lydelse. Han ville en smula mjuka upp den apostoliska trosbekännelsen. Man skulle säga någorlunda rent ut, att det vid trosbekännelsens avläggande inte alls är fråga om att tro exempelvis, att Jesus är »avlad av den Helige Ande», »född av </w:t>
      </w:r>
      <w:r>
        <w:rPr>
          <w:b/>
        </w:rPr>
        <w:t>jungfru²</w:t>
      </w:r>
      <w:r>
        <w:rPr>
          <w:b w:val="0"/>
        </w:rPr>
        <w:t xml:space="preserve"> Maria» etc., utan detta skulle man kunna tro eller inte tro och ändå vara kristen. 'Trosbekännelsen skall ses som ett historiskt och symboliskt uttryck, som herrarna inom teologiska fakulteten numera säga och våra biskopar i regel också tänka. Manfred Björkquist tillstyrkte ett förslag till ändring i fråga om det sätt, på vilket trosbekännelsen skulle föredragas. Därvid yttrade han följande ord, som jag skall be att få taga till protokollet: »Jag tänker på de många unga, som icke kunna bliva präster, så länge den nuvarande ordningen består. —</w:t>
        <w:br/>
        <w:br/>
        <w:t>Jag tänker på många unga präster, jag kan se framför mig den ena efter den andra, som jag vet lida under de nuvarande förhållandena. Jag tänker också på många andra unga församlingsmedlemmar, som när de komma fram till trosbekännelsen och gärna skulle vilja vara med härom, ifall de finge taga det på det sätt, som mången här talar om, när de stå inför en församling, känna sig förhindrade att få vara med om detta, och dit räknar jag mig själv. Jag tänker slutligen på alla de stora skaror, som stå mycket längre bort härifrån än vad som är fallet med någon av nyss nämnda kategorier. — Jag tänker på alla de skaror vi talat om på våra kyrkliga möten, arbetarskaror och andra, som äro på marsch emot kyrkan men som helt enkelt icke kunna förstå, hur man inför altaret kan säga på ett sätt — som de tycka — och utanför detsamma på ett annat sätt, och som, innan det blir full ärlighet i dessa religiösa uttryck, känna, att saken måste förbliva dem främmande. De känna, som om de icke riktigt kunna lita på det hela.»</w:t>
        <w:br/>
        <w:br/>
        <w:t>Man kan visst säga, att i nuvarande tidssituation det gäller viktigare saker för kyrkan än en mer eller mindre grundlig städning på det rituella området. Det, som framför allt kräves, är inte så mycket nya former som — ja, jag tror Jag stannar vid att säga — en besinning på innehållet i den religiösa förkunnelsen. Man skall vara ganska skum på ögonen eller i hög grad benägen att leka blindbock med sig själv och verkligheten för att inte ha upptäckt, att kyrkan är på väg att förlora allt fäste i mycket vida lager av folket. En och annan ur de bildade klasserna förirrar sig någon enstaka gång till en gudstjänst, ungdomen i alla samhällsklasser är oåterkalleligen borta, arbetarvärlden, där det dock finnes åtskilligt kvar av omisskännligt levande intresse för även andliga värden och livsproblem, fördrar tills vidare kyrkan som institution men har intet behov av kyrkans hjälp. Jag undrar ibland över, att man ännu trots allt fortsätter att låta döpa sina barn, skicka dem till konfirmationsläsning och konfirmera dem. Hur länge kommer denna tradition att bestå? På tal om innehållet i förkunnelsen, har kanske någon med mig ibland gjort den reflexionen, att en svensk högmässa med riklig och fin musik, gamla fina bibelord och gärna ålderdomliga böner från altaret skulle kunna vara rent av uppbygglig, om man inte stördes av det som förekommer på predikstolen. Nathan Söderblom lanserade någon gång tanken på en högmässa även utan predikan. För min del skulle jag till och med kunna vara med om en återgång till predikan på latin ibland, även med hänsyn till att så få människor nu för tiden kan något latin. Emellertid är det ett faktum, att kyrkan tycks ha bra litet att säga de människor i tiden, som brottas med några allvarliga problem. Det är inte alls bara det, att kyrkan talar sitt språk och tidens människor sitt. Det är nog än mer det, att kyrkan inte vill låtsas om någon förskjutning i den moderna människans inställning till de stora problemen. Men jag har inte anledning att här fördjupa mig i detta.</w:t>
        <w:br/>
        <w:br/>
        <w:t>Jag dristar mig vädja till kammaren att bifalla utskottets förslag. Det är måttfullt, tycker jag. Det inleder och inbjuder inte till några äventyr. Det är så kringgärdat med besinningsfullt folks uppslag att begränsa önskvärd frihet, att det borde räcka ganska långt. Jag påpekar t. ex. att all prästerlig klåfingrighet är utelyckt. Vederbörande församlingars kyrkoråd skall tillstyrka, och Kungl. Maj:t skall fastställa ritualet. Och det gäller endast en söndag i månaden. Jag tror med herr Tamm i fjol, att vår svenska folkkyrka skall ha gagn därav.</w:t>
        <w:br/>
        <w:br/>
        <w:t>Jag ber, herr talman, att få hemställa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718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