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1971</w:t>
      </w:r>
    </w:p>
    <w:p>
      <w:r>
        <w:rPr>
          <w:b/>
        </w:rPr>
        <w:t xml:space="preserve">Datum: </w:t>
      </w:r>
      <w:r>
        <w:t>1933-03-31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Flyg (Kommunistiska partiet, man)</w:t>
      </w:r>
    </w:p>
    <w:p>
      <w:r>
        <w:rPr>
          <w:b w:val="0"/>
        </w:rPr>
        <w:t>Herr talman! Jag vill med några ord följa den av mig framförda motionen till den begravning i riksdagens arkiv; som nu skall förrättas.</w:t>
        <w:br/>
        <w:br/>
        <w:t xml:space="preserve">Utskottets i detta utlåtande föreliggande förslag till ny lagstiftning på området är tillkommet med anledning av en motion, som vid 1931 års riksdag av mig framfördes. Utgångspunkten för denna liksom för den nu väckta var, att man skulle på detta område komma fram till största möjliga likställighet mellan parterna i sådana konflikter, som det här gäller. Nu har man i den föreslagna lagtexten stadgat, att det skall tillkomma den manliga parten rätt att kräva, då han så anser vara önskvärt och i sitt intresse, blodundersökning på modern och det barn tvisten gäller. Men däremot säger man från utskottets sida och även från departementschefens, att man på grund av dels medicinska och dels även juridiska skäl icke kan gå med på att ge även den </w:t>
      </w:r>
      <w:r>
        <w:rPr>
          <w:b/>
        </w:rPr>
        <w:t>kvinnliga¹</w:t>
      </w:r>
      <w:r>
        <w:rPr>
          <w:b w:val="0"/>
        </w:rPr>
        <w:t xml:space="preserve"> parten i dylika tvister samma rätt som mannen. Jag skall icke polemisera vare sig mot de medicinska eller mot de juridiska argumenten eller mot den argumentation, som kommit från sådant håll, därför att jag ej är kompetent därtill och därför att jag icke har någon anledning att gå in på en sådan polemik. Men jag har redan i motionens motivering sagt, att vad som här</w:t>
        <w:br/>
        <w:br/>
        <w:t xml:space="preserve">Ang. blodundersökning i mål om barn utom äktenskap m. m. (Forts.) föreslås har en maskulin betoning, om jag får använda det ordet även här i mitt yttrande i kammaren. Jag menar, att då det gäller så ömtåliga tvister, som det här är fråga om, skulle man ha anledning att söka undvika en sådan formulering. Nu säger man, att alldenstund det icke är möjligt att genom blodundersökning bevisa, att en man i dylikt fall kan vara far till det barn, varom tvisten står, kan man icke här skriva in i lagtexten motsvarande rättighet för den </w:t>
      </w:r>
      <w:r>
        <w:rPr>
          <w:b/>
        </w:rPr>
        <w:t>kvinnliga¹</w:t>
      </w:r>
      <w:r>
        <w:rPr>
          <w:b w:val="0"/>
        </w:rPr>
        <w:t xml:space="preserve"> parten, ty </w:t>
      </w:r>
      <w:r>
        <w:rPr>
          <w:b/>
        </w:rPr>
        <w:t>hennes²</w:t>
      </w:r>
      <w:r>
        <w:rPr>
          <w:b w:val="0"/>
        </w:rPr>
        <w:t xml:space="preserve"> enda intresse skulle bestå 1, att </w:t>
      </w:r>
      <w:r>
        <w:rPr>
          <w:b/>
        </w:rPr>
        <w:t>hon²</w:t>
      </w:r>
      <w:r>
        <w:rPr>
          <w:b w:val="0"/>
        </w:rPr>
        <w:t xml:space="preserve"> kunde genom en dylik hemställan och genom en på grund av denna hemställan företagen blodundersökning på den manliga parten få bevisat, att </w:t>
      </w:r>
      <w:r>
        <w:rPr>
          <w:b/>
        </w:rPr>
        <w:t>hennes²</w:t>
      </w:r>
      <w:r>
        <w:rPr>
          <w:b w:val="0"/>
        </w:rPr>
        <w:t xml:space="preserve"> påstående, att mannen är far till barnet, skulle vara riktigt. Det kan man ej. Man har på blodundersökningens område icke kommit så långt, att man kan bevisa något dylikt. Jag skall, som sagt, ej ingå i någon polemik mot detta resonnemang, men jag vill ha sagt, att jag ändå anser, att lagförslaget borde ha formulerats annorlunda. Ty det kan ej bestridas, att om en sådan rättighet gåves den </w:t>
      </w:r>
      <w:r>
        <w:rPr>
          <w:b/>
        </w:rPr>
        <w:t>kvinnliga¹</w:t>
      </w:r>
      <w:r>
        <w:rPr>
          <w:b w:val="0"/>
        </w:rPr>
        <w:t xml:space="preserve"> parten i dylika mål, hade man därmed i varje fall kommit så långt, att en domstol, som skall döma, som har avgörandet i en svår tvist, där den manliga parten nekar och själv ej använder sig av rätten att begära blodundersökning, ändå genom det sammanhang, som ett blodprovs utslag kunde visa mellan fadern. modern och barnet, skulle kunna få en viss trygghet för fällande av sitt utslag, ej ett argument, ej ett bevis, men likväl den tryggheten, att det kan förhålla sig så, som den </w:t>
      </w:r>
      <w:r>
        <w:rPr>
          <w:b/>
        </w:rPr>
        <w:t>kvinnliga¹</w:t>
      </w:r>
      <w:r>
        <w:rPr>
          <w:b w:val="0"/>
        </w:rPr>
        <w:t xml:space="preserve"> parten säger. Jag är rädd för, att man nu skall peka på, att vad man nu gör, skall betyda, att man givit den manliga parten i dylika tvister ytterligare en möjlighet att komma ifrån det ansvar, som det här är fråga om. Jag har ingen anledning att gå emot ett sådant önskemål. Jag vet alltför väl, att ett sådant ytterligare skydd, som man avser att ge, är av behovet påkallat. Men jag tror, att om man även formulerat lagtexten så, att samma möjlighet stode båda parterna till buds, hade man gjort en formulering, som varit klok ur den synpunkten, att man här bör undvika att skapa ytterligare antagonism och därför ger vederbörande samma rättsliga ställning. Den </w:t>
      </w:r>
      <w:r>
        <w:rPr>
          <w:b/>
        </w:rPr>
        <w:t>kvinnliga¹</w:t>
      </w:r>
      <w:r>
        <w:rPr>
          <w:b w:val="0"/>
        </w:rPr>
        <w:t xml:space="preserve"> parten blir ändå lidande därigenom, att för </w:t>
      </w:r>
      <w:r>
        <w:rPr>
          <w:b/>
        </w:rPr>
        <w:t>hennes²</w:t>
      </w:r>
      <w:r>
        <w:rPr>
          <w:b w:val="0"/>
        </w:rPr>
        <w:t xml:space="preserve"> vidkommande kan aldrig en dylik undersökning få samma bevisvärde, som den kan få, då det gäller den manliga parten.</w:t>
        <w:br/>
        <w:br/>
        <w:t>Vad sedan beträffar motionens andra önskemål, nämligen ifråga om lagens retroaktiva tillämpning, säger man, att det ej är möjligt. Det vore att gå emot vad som hittills har gällt på lagstiftningens område. En sådan anordning skulle stå i strid med de enligt svensk rätt gällande principerna om doms rättskraft i civila mål. Det är möjligt, att det förhåller sig så, men jag tror ändå, att man icke får anse den fråga, som jag berört i min motion, slutgiltigt löst med denna utskottets formulering och med detta utlåtande, som nu kommer att godkännas av kammaren. Ty det är tämligen visst — och därom råda, skulle jag tro, inga delade meningar — att man har på detta område en hel rad av vad vi kunna kalla orättfärdiga och orättvisa domslut, där vederbörande part bör få möjlighet att få sin sak prövad med de resultat till hjälp, till vilka vetenskapen kommit under årens lopp. Jag är ej för dagen medveten om, på vilket sätt man skall gå tillväga för att få till stånd en sådan ändring, men jag vill i detta avseende speciellt ha sagt, att Jag för mitt vidkommande ämnar söka efter sådan form, som utskottet icke skall kunna avvisa vid ett kommande tillfälle, för att få ändring till stånd i detta avseende.</w:t>
        <w:br/>
        <w:br/>
        <w:t>Till sist vill jag säga, herr talman, att jag icke är övertygad eller, rättare sagt, att utskottet icke har övertygat mig om, att min framställning i motionen varit oriktig. Jag har emellertid ingenting att invända emot, att man nu tar det steg, som föreslagits, och som jag anser vara ett steg i rätt riktning.</w:t>
        <w:br/>
        <w:br/>
        <w:t>Ang. blodundersökning i mål om barn utom äktenskap m. m. (Forts.) Jag vill emellertid ha sagt, att jag därmed ej är nöjd, utan att jag anser, att man bör snarast möjligt gå vidare och det i sådan riktning, som jag i min motion uttalat önskvärdheten av. Jag ber att med hänsyn till frågans läge för dagen få säga, att jag icke ämnar yrka bifall till min motion. Jag har alltså, herr talman, intet yrkande.</w:t>
      </w:r>
    </w:p>
    <w:p>
      <w:pPr>
        <w:pStyle w:val="Heading2"/>
      </w:pPr>
      <w:r>
        <w:t>2. Ernst Hage (Socialdemokraterna, man)</w:t>
      </w:r>
    </w:p>
    <w:p>
      <w:r>
        <w:rPr>
          <w:b w:val="0"/>
        </w:rPr>
        <w:t>Herr talman! Denna fråga, som berör hyreslagstiftningen och dess reformering, har vid föregående tillfällen mycket utförligt diskuterats i kammaren vid upprepade tillfällen, och jag kan därför nu inskränka mig till ett mycket kort anförande i frågan. Jag vill dessutom säga, att jag vet av gammal erfarenhet, att denna fråga intresserar</w:t>
        <w:br/>
        <w:br/>
        <w:t>1 huvudsak bara representanterna för de stora och de medelstora städerna, under det att representanterna för de mindre samhällena äro mindre intresserade av detta spörsmål, och det beror på, att i de mindre samhällena är förhållandet mellan hyresgäster och husägare grundat på mera patriarkaliska förhållanden, och därför uppkommer det där mindre diskussioner och konflikter mellan vederbörande än i de stora samhällena, där hyresproblemet är mycket uppmärksammat. Detta har resulterat däri, att vi ha i allmänhet i de stora samhällena stora och livskraftiga hyresgästföreningar, som följa med och hjälpa hyresgästerna i konflikter med husägarna.</w:t>
        <w:br/>
        <w:br/>
        <w:t xml:space="preserve">Nu vill jag säga, att när </w:t>
      </w:r>
      <w:r>
        <w:rPr>
          <w:b/>
        </w:rPr>
        <w:t>damerna²</w:t>
      </w:r>
      <w:r>
        <w:rPr>
          <w:b w:val="0"/>
        </w:rPr>
        <w:t xml:space="preserve"> och herrarna se på detta utskottsutlåtande, så finna ni kanske att här är skillnaden mellan utskottets utlåtande och reservationen icke så synnerligen stor. Reservanterna ha nämligen avstått från att göra något yrkande med avseende å hela frågan om en reformering av hyreslagstiftningen, som har tagits upp i den motion, som är väckt. Man har däremot från reservanternas sida inskränkt sig till att göra ett visst yrkande på en viss punkt, nämligen angående en omändring av den gällande lagstiftningen, och den punkten berör 3 kap. i nyttjanderättslagen 10 och 12 $$. I dessa paragrafer behandlas främst frågan om husägares skyldighet att hålla lägenheter, som äro uthyrda, i gott skick. Rörande den saken säger utskottsmajoriteten, att det torde kunna råda tvekan om lämpligheten av att det skall vara full avtalsfrihet på detta område.</w:t>
        <w:br/>
        <w:br/>
        <w:t>Det är så, att när det gäller arrendeeller hyreslagstiftningen, så äro lagarna på dessa områden i stor utsträckning utformade på vad man kallar avtalsfrihetens grund. Vederbörande ha rätt att göra upp med varandra allt eftersom man träffar överenskommelse. Men sedan har lagstiftningen tagit fasta på det förhållandet, att vissa frågor, som avhandlas i hyresoch arrendelagstiftningen, äro så betydelsefulla ur samhällets synpunkt, att man har i båda dessa lagar infört ganska långt gående sociala bestämmelser till skydd för den, som anses såsom den svagare parten, d. v. s. brukaren av fastigheten, under det att man generellt utgår ifrån, att ägaren i allmänhet är den starkare. För att skydda den svagare har man alltså utgått ifrån, att det skall finnas på flera punkter — om man nu här inskränker sig till hyreslagen — socialt betonade bestämmelser till skydd för brukaren, hyresgästen. Det är man enig om. Men striden står om, hur långt man skall gå, hur stor del av lagstiftningen som skall vara socialt betonad och utformad, så att det skall framtvingas från ägaren en förpliktelse mot hyresgästen, oavsett om ägaren till lägenheten vill detta eller ej.</w:t>
        <w:br/>
        <w:br/>
        <w:t>I det fallet har utskottets majoritet sagt, att när det gäller dessa mycket betydelsefulla stadganden i 3 kap. 10 och 12 $$ nyttjanderättslagen, kan det anses rimligt, att det finnes tvingande bestämmelser av social innebörd till skydd för nyttjanderättshavaren. Det är man ense om även inom utskottsmajoriteten. Då gå reservanterna konsekvent fram med den förklaringen och säga, att eftersom utskottets majoritet anser det rimligt, så begära reservanterna utredning och begära, att Kungl. Maj:t skall ändra om lagen på dessa båda punkter, som gälla skyldighet för fastighetsägare att hålla uthyrd lägenhet i gott skick. Och de begära, att Kungl. Maj:t, med utgångspunkt från denna allmänna uppfattning, skall utforma en lagstiftning så, att den får socialt innehåll och så att det kan bli tvingande för husägaren att hålla lägenheterna i gott skick. Jag vill i det sammanhanget säga, att dessa båda paragrafer äro för närvarande så utformade, att de giva vissa anvisningar. De säga till husägaren, att han bör hålla fastigheten i gott skick och att det är ett allmänt intresse, men — säger lagstiftningen samtidigt — om ni icke vill det, kan ni befria er från den skyldigheten genom att föra in i kontrak-</w:t>
        <w:br/>
        <w:br/>
        <w:t>Jag vill säga särskilt, att orsaken till att vi framfört detta är, att det finnes särskilt på stora platser såsom Stockholm och Göteborg en opinion, som kräver en sådan lagstiftning. Den opinionen grundar sig på det faktum, att husägarna använda sig av denna rättighet, som finnes att frigöra sig från lagens anda och mening, genom en bestämmelse i kontraktet. Detta leder till ett stort antal kontraktstvister, och det är särskilt intygat från personer, som syssla praktiskt med sådana tvister, att de upptaga i stor utsträckning rättshjälpsanstalternas verksamhet. Föreståndaren för rättshjälpsanstalten i Göteborg har i brev bl. a. meddelat, att just sådana konflikter, som beröra hyreslagstiftningen, ha under ett år uppgått till ett antal av 435 fall, och han förklarar, att sådana saker tendera till ökning mer och mer och att det vore önskvärt, om man kunde få på den punkten i första hand en utredning och sedan en lagstiftning, som innebure just detta, en tvingande lagstiftning, som sade bestämt ifrån hur lag och praxis skulle vara.</w:t>
        <w:br/>
        <w:br/>
        <w:t>Jag skall inskränka mig till det anförda och med utgångspunkt från detta yrka bifall till den reservation, som är avgiven och i vilken yrkas, »att riksdagen måtte i skrivelse till Kungl. Maj:t hemställa om en allsidig utredning, huruvida och på vilket sätt bestämmelserna i gällande hyreslag måtte kunna i större utsträckning än vad nu är fallet erhålla en tvingande i stället för en dispositiv innebörd.»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