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1972</w:t>
      </w:r>
    </w:p>
    <w:p>
      <w:r>
        <w:rPr>
          <w:b/>
        </w:rPr>
        <w:t xml:space="preserve">Datum: </w:t>
      </w:r>
      <w:r>
        <w:t>1933-03-31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Torsten Lundell (–, man)</w:t>
      </w:r>
    </w:p>
    <w:p>
      <w:r>
        <w:rPr>
          <w:b w:val="0"/>
        </w:rPr>
        <w:t>Herr talman! Jag får säga, att det är med en viss tvekan, som jag ex officio begärt ordet i den här frågan för att gentemot reservan-</w:t>
        <w:br/>
        <w:br/>
        <w:t>I saken vill jag emellertid säga det, att Jag tror att för verkligt varmt religiöst intresserade personer, så kan det finnas mycket, som talar såväl för den ståndpunkt, som första kammarens första tillfälliga utskott har intagit som för den ståndpunkt, som nu har intagits av andra kammarens första tillfälliga utskott. Första kammarens utskott anser ju, på samma sätt som det ansåg år 1932, att i fråga om gudstjänstritualet omväxling helt visst kunde vara av godo genom att öka intresset för den allmänna gudstjänsten och motverka den känsla av olust, som slentrian på detta område kan framkalla. Däremot anser andra kammarens utskott nu, också på samma sätt som det ansåg år 1932, att det icke vore lämpligt att föregripa den pågående revisionen av kyrkohandboken. Andra kammarens utskott slår alltså vakt omkring traditionen, under det att första kammarens utskott vill pröva på nya anordningar. Detta överensstämmer icke med dessa kamrars allmänna inställning till andra frågor, men det har varit så i den här frågan såväl förra året som nu i år.</w:t>
        <w:br/>
        <w:br/>
        <w:t xml:space="preserve">Det förefaller utskottets majoritet sannolikt, att i fråga om det viktigaste tillfället för religiös förkunnelse nämligen högmässan, så bör man räkna med att vissa former kunna behöva vara föreskrivna, eftersom full frihet i fråga om ritualet nog skulle kunna föranleda en mindre omdömesgill prästman att giva sig in på något, som kunde stöta en del av kyrkomenigheten för huvudet. Nu säger </w:t>
      </w:r>
      <w:r>
        <w:rPr>
          <w:b/>
        </w:rPr>
        <w:t>fru²</w:t>
      </w:r>
      <w:r>
        <w:rPr>
          <w:b w:val="0"/>
        </w:rPr>
        <w:t xml:space="preserve"> Gillner-Ringenson att det finns goda exempel på fria ritualer. Ja, det är alldeles klart. Det kan säkerligen uppställas många goda exempel, men man har ingen som helst garanti för att, om ritualet blir fritt, alla följa sådana goda exempel. Å andra sidan föreligger ju redan frihet i fråga om ritualet beträffande andra gudstjänster än högmässan. Där kan man ju variera och experimentera med andra former. Genom den bundenhet i fråga om högmässan, som nu föreligger, och den frihet, som finns vid andra gudstjänster, förefaller det utskottets majoritet, som om man hade gått en medelväg, som borde kunna tillfredsställa båda åskådningarnas anhängare, tills man blir färdig med en ändrad kyrkohandbok.</w:t>
        <w:br/>
        <w:br/>
        <w:t>Jag vill vidare säga, att när utskottet har ställt sig på den ståndpunkt, det gjort, har åtminstone en del av utskottets medlemmar gjort det i förhoppningen, att det nya förslaget till en reviderad kyrkohandbok icke skall låta vänta på sig alltför länge. På den punkten har det säkerligen en icke ringa betydelse, att den nuvarande ärkebiskopen till utskottets ärade ordförande, som icke är närvarande här i kväll, uttalat, att han är livligt intresserad av att en revision av gudstjänstritualet kommer till stånd, och att han själv hoppas kunna bidraga till den revisionen.</w:t>
        <w:br/>
        <w:br/>
        <w:t>Med stöd av det, som jag nu anfört, ber jag, herr talman, att få yrka bifall till utskottets hemställan i det föreliggande ärendet.</w:t>
      </w:r>
    </w:p>
    <w:p>
      <w:pPr>
        <w:pStyle w:val="Heading2"/>
      </w:pPr>
      <w:r>
        <w:t>2. Harald Hallen (Socialdemokraterna, man)</w:t>
      </w:r>
    </w:p>
    <w:p>
      <w:r>
        <w:rPr>
          <w:b w:val="0"/>
        </w:rPr>
        <w:t>Herr talman! Man må icke förtänka andra kammaren, om den känner sig en smula osäker och villrådig, hur den skall ställa sig i den föreliggande frågan, när den studerar första tillfälliga utskottets förevarande utlåtande. Detta är ju synnerligen knapphändigt. Det är ganska märkligt, att utskottet icke ens funnit behövligt att återgiva det tillstyrkande utlåtande. som medkammarens utskott avlämnat i frågan. Det skulle ju varit en riktlinje för kammaren vid bedömandet av den föreliggande situationen. Man</w:t>
        <w:br/>
        <w:br/>
        <w:t>Ang. alternativt ritual för högmässa. (Forts.) har nöjt sig med att hänvisa såväl till motionen som förstakammarutskottets utlåtande. Annars är det ofta praxis, att man brukar återgiva ett positivt utlåtande från medkammaren icke blott i dess kläm utan också med dess motivering. Jag frångår emellertid den punkten.</w:t>
        <w:br/>
        <w:br/>
        <w:t>Nu skulle jag vilja säga, att utskottet här endast anlagt en rent formell synpunkt. Det har hänvisat till att 1925 års kyrkomöte begärt ett förslag till en varsam revision av kyrkohandboken och menat, att den fortsatta revision, som måste tänkas komma, borde man icke föregripa utan arbetet därmed borde i lugn och ro få utföras. Den siste ärade talaren har ju också haft befogenhet meddela kammaren, att den nuvarande ärkebiskopen är i hög grad intresserad utav en revision av kyrkohandboken. För det sista uttalandet har man all anledning vara tacksam. Det gäller bara, om det kan anses till fyllest för denna frågas belysning.</w:t>
        <w:br/>
        <w:br/>
        <w:t>Jag skulle vilja säga, mina damer och herrar, att det säkerligen även i denna kammare finnes en viss naturlig obenägenhet att taga befattning med den här frågan, ur den synpunkten nämligen, att man anser, att här föreligger en s. k. intern kyrklig angelägenhet. Kammaren anser kanske 1 en viss naturlig blygsamhet, att den icke är kvalificerad yttra sig. Jag skulle emellertid då vilja påpeka, att, då den här saken var före i första kammaren, tilllät sig en ledamot av densamma, som även tillhörde, om jag minns rätt, det sista kyrkomötet, nämligen friherre Lagerfelt, att säga bland annat följande: » Detta är en fråga, i vilken det tillkommer Sveriges kyrkomöte att besluta. Det är ingen ekonomisk eller administrativ lagstiftningsfråga, som avgöres av Kungl. Maj:t, riksdag och kyrkomöte, utan detta är en av kyrkomötets interna frågor. Frågan om gudstjänstritualet ligger helt innanför området för kyrkomötets avgöranden.» Det kastar ett ganska märkligt ljus över kvalifikationerna hos dem, som rekrytera kyrkomötet i våra dagar, att man så kan kapitalt missuppfatta vad som tillhör ett kyrkomöte. Den ärade talaren borde verkligen tagit reda på den bestämmelse som stadgar, att Sveriges kyrkomöte har ingen som helst beslutanderätt utan det äger endast petitionsrätt. Det ankommer på Kungl. Maj:t att i administrativ ordning utfärda de bestämmelser, som icke äro av kyrkolags natur. Med denna erinran skulle jag velat uttala, att den uppfattning, som gör sig gällande, att detta är en uteslutande intern kyrklig angelägenhet, åtminstone statsrättsligt sett på intet vis håller streck. Däremot kan man naturligtvis ur praktisk synpunkt säga, att kyrkomötet borde vara en mera kvalificerad institution att bestämma om sådana kyrkliga interna frågor. Jag har själv också här i riksdagen under många år förfäktat den uppfattningen, att vårt kyrkomöte borde utrustas med möjlighet att på samma sätt som riksdagen i fråga om civillagstiftning få icke blott petitionsrätt utan också en viss bestimmanderätt. Så har emellertid ännu icke blivit fallet, och vi kunna därför icke tillmäta kyrkomötet någon annan betydelse än att dess uttalanden spela rollen av opinionsyttringar ifrån kyrkofolket. Ur den synpunkten måste man också taga en viss hänsyn till kyrkomötet. Imellertid måste jag, hur ivrig vän jag än är av vår kyrka och dess förankring i vårt folkliv, konstatera, att man tyvärr icke ens kan tillmäta kyrkomötets opinionsyttringar i petitionsform så värst stor betydelse därför, att praktiskt taget står bakom kyrkomötet egentligen icke någon valmanskår. Det är kanske ett starkt yttrande, herr talman. Men man ser, hur det ibland diskuteras, huruvida riksdagen har moralisk fullmakt att yttra sig i en fråga. Man menar, att det är bara så och så många procent av valminnen, som yttrat sig. Hur många procent valmän, tro herrarna det är, som komma i fråga vid valen av våra lekmannaombud vid kyrkomötet? Jag menar därför, att vi befinna oss i det beklagliga läget att ett fullt tillförlitligt</w:t>
        <w:br/>
        <w:br/>
        <w:t>Så har också inträffat förr. En hel del ledamöter här erinra sig vad som timade år 1921. Då hade kyrkomötet, alldeles säkert utan att representera en klar majoritet varken inom nationen eller ens inom det s. k. kyrkofolkets led, gjort ett uttalande till Kungl. Maj:t angående det sätt, varpå den nuvarande svenska psalmboken borde revideras. Det väcktes då här i riksdagen ett förslag om att riksdagen skulle såsom en lekmannainstitution göra ett uttalande om vad den tänkte och tyckte i fråga om den svenska psalmbokens eventuella revidering. Det höjdes visserligen röster, som menade, att riksdagen icke vore rätt forum för att behandla denna fråga, men det skedde i alla fall, och såväl första som andra kammaren klargjorde med tydliga majoriteter sin uppfattning i den frågan. Jag vågar nästan säga, att det initiativ, som riksdagen, och icke minst andra kammaren, tog, då den undanbad sig ett slags revision efter ganska snäva synpunkter av den wallinska psalmboken, resulterade i att den dåvarande Kungl. Maj:t mer tog hänsyn till riksdagen såsom en lekmannarepresentation för kyrkan i denna fråga än till kyrkomötet och gjorde det på ett sätt, som säkerligen i dag flertalet, icke blott inom allmänheten utan även inom kyrkofolket, respekterar och är riksdagen tacksam för. Nu förstå de ärade ledamöterna i kammaren, varthän jag syftar med denna parallell. Jag menar, att nu föreligger samma situation, som förelåg år 1921, då riksdagen, om också efter en viss tvekan. beaktade den synpunkten att, med hänsyn till att vår kyrka är en folkkyrka, bör till och med riksdagen kunna få avgiva sitt votum i vissa frågor, som den anser sig kunna bedöma.</w:t>
        <w:br/>
        <w:br/>
        <w:t>Nu skall jag ärligt erkänna, herr talman — även om kanske utskottsmajoriteten skulle vilja utnyttja detta emot mig — att egentligen är motionens yrkande för mig icke någon så utomordentlig angelägenhet. Jag vill icke sticka under stol med att det nog kan diskuteras, huruvida det är lämpligt med denna frihet att under ett visst antal söndagar under året få anordna svenska högmässor efter ett friare ritual, låt vara under vissa beskyddande garantier: att det lokala kyrkorådet har tillstyrkt, att domkapitlet har givit sitt medgivande till saken och att överhuvud taget denna form har vunnit Kungl. Maj:ts medgivande. Jag erkänner gärna att man kan diskutera, huruvida detta är en lycklig och önskvärd reform för den svenska kyrkan men det som gör, att jag i alla fall anser mig här kunna tillstyrka bifall till rereservationen, d. v. s. bifall till motionen, är, herr talman, ungefär följande synpunkter.</w:t>
        <w:br/>
        <w:br/>
        <w:t>Jag anser nämligen, att i vår tid då den svenska kyrkan med all rätt vill hävda sig såsom en folkkyrka och då den alltså skall lämna utrymme åt i dogmatiskt och konfessionellt avseende olikartade grupper av sina medlem-</w:t>
        <w:br/>
        <w:br/>
        <w:t>Ang. alternativt ritual för högmässa. (Forts.) mar, så är det sannerligen högst på tiden, att också de behov, som förefinnas, av att i andra former uttrycka sin tillbedjan och bekännelse tillgodoses i rikligare omfattning än hittills. Här tillåter jag mig att alldeles vid sidan av alla slags partigrupperingar vädja till kammaren: Är det icke så, ärade kammarledamöter, att hur stor veneration och aktning man än hyser för hävdvunna gamla kyrkliga begrepp och uttryck, och vilket samhälleligt värde det än ligger i dessa av seklers erfarenhet och traditionens tyngd burna uttryck för bekännelsen, så finns det alldeles säkert en folkmajoritet i närvarande stund -— jag menar av dem, som överhuvud taget äga religiösa intressen, andra talar jag i detta sammanhang icke om — som anser, att hela den religiösa begreppsvärlden måste få sina uttryck och föreställningar så att säga transformerade till tidens sätt att tänka och känna. Jag vågar påstå, att mycket i den svenska högmässogudstjänstens ritual och överhvud taget allmänna terminologi icke tillfredsställer stora grupper av svenska medborgare, som finnas inom alla sociala och politiska skikt och läger i samhället. Jag har nu den personliga uppfattningen, att det är egentligen flertalet inom vårt folk. När vi, för att taga något, som nästan alla kammarledamöter kunna personligen verifiera, bevista en kyrklig ritualakt — det må vara ett barndop, en vigsel, en jordafärd eller kanske en högmässa — så ha säkerligen de flesta, alldeles oavsett sin allmänna inställning, överhuvud taget en känsla av att de religiösa livsvärden, som i kyrkan förkunnas och levandegöras för människorna, dem skulle man önska liksom klädda och åskådliggjorda i en annan dräkt, som är levande och fattbar för tidens människor.</w:t>
        <w:br/>
        <w:br/>
        <w:t>Ja, herr talman, jag säger, att det är för mig en hjärteangelägenhet att kunna få medverka till att verkligen, för att än en gång använda det uttrycket, transformera någonting av detta till tidens eget språk och uttryckssätt, och vi känna allesamman, att det nuvarande högmässoritualet på intet sätt tillmötesgår detta verkliga tidsbehov, som finnes inom de vidaste kretsar av den svenska kyrkan. Och då jag tillåter mig att yrka bifall till den föreliggande motionen eller rättare sagt till det utlåtande som första kammaren har bifallit nu år efter år, så sker det, jag erkänner det gärna, inte så mycket av något slags månhet om och intresse för denna motion, utan det är snarare en vädjan till kammaren, att den måtte såsom en lekmannarepresentation begagna detta tillfälle att avge en opinionsyttring till Kungl. Maj:t till den kraft och verkan det hava kan om angelägenheten av att vid en revision av kyrkans handbok man visserligen måtte gå till väga med all historisk pietet och varsamhet men att man samtidigt må se till att det ges möjligheter för att få fram mera tidsenliga former, begreppsoch uttrycksformer för de religiösa livsvärdena än vad hela den gamla dogmatiska inramning ger möjlighet till, som ännu alltjämt karakteriserar 1894 års handbok. Jag vädjar till denna kammares samtliga ledamöter att inte tveka inför den tanken, att de inte skulle vara kvalificerade att här avge sitt votum, var och en har antingen i den svenska gudstjänstens form eller i övrigt, då han varit med vid några av de rituella former, varav vår kyrka begagnar sig, säkerligen gjort sina reflexioner, och jag är fullt övertygad om att hos flertalet ha dessa reflexioner gått i den riktningen, att man skulle gärna önska, att mera tidsenliga former kunde ges för det religiösa innehåll, som kyrkan — om man så vill staten i sin kyrkliga verksamhet — vill bjuda medborgarna. Då jag, herr talman, yrkar bifall i detta avseende till första kammarens beslut i ärendet, så tar jag alltså inte så mycket sikte på själva det formella yrkandet, som medkammaren har bifallit, utan mer på den opinionsyttring såsom en vägledning för Kungl. Maj:t i frågan, som det här kan gälla. Jag vill också ha sagt, att det argumentet skola vi definitivt avhysa från debatten, då man säger, att 1925</w:t>
        <w:br/>
        <w:br/>
        <w:t>Ang. alternativt ritual för högmässa. (Forts.) års kyrkomöte har begärt en revision. Herr Lundell uppgav också, att den nuvarande ärkebiskopen är mycket intresserad av en sådan revision. Detta äro vi tacksamma för att få höra, och jag betvivlar inte heller, att så är fallet, men det säger så oändligt litet. Därför att ärkebiskop Eidem är intresserad av en revision, betyder det ingalunda, att en sådan revision sättes i gång. Det finns ingen kommitté, det vill jag påpeka. Allt kommer an på Kungl. Maj:t, om Kungl. Maj:t vill tillsätta en sådan kommitté och åaterupptaga det revisionsarbete, som egentligen har så att säga lidit skeppsbrott och inte resulterat i någonting. Frågan är därför ingalunda under utredning. Det finns en opinion hos kyrkomötet för en utredning, men heller ingenting mer. Om andra kammaren vill biträda första kammarens beslut såsom en allmän opinionsyttring för att få en, jag skulle vilja formulera det så, uttrycksform av större tidsenlig realitet för den religiösa bekännelsen än vad vi hittills ägt, så skulle det säkerligen vara en vägledning för Kungl. Maj:t, då det gäller att i sinom tid återupptaga detta utredningsarbete.</w:t>
        <w:br/>
        <w:br/>
        <w:t>Med dessa ord, herr talman, ber jag att få yrka bifall till reservationen, det vill med andra ord säga, att kammaren måtte biträda första kammarens beslut i ärendet.</w:t>
      </w:r>
    </w:p>
    <w:p>
      <w:pPr>
        <w:pStyle w:val="Heading2"/>
      </w:pPr>
      <w:r>
        <w:t>3. Birger Petersson (Högerns riksdagsgrupp, man)</w:t>
      </w:r>
    </w:p>
    <w:p>
      <w:r>
        <w:rPr>
          <w:b w:val="0"/>
        </w:rPr>
        <w:t>Herr talman! När jag har dristat mig att begära ordet i denna debatt, så vågar jag till försvar härför åberopa utom mitt personliga intresse för detta spörsmål den omständigheten, att jag som lekmannaombud under tre av de fyra senaste kyrkomötena har deltagit i behandlingen av handboksfrågan. Och det kan måhända ursäkta, att jag vågar taga till orda.</w:t>
        <w:br/>
        <w:br/>
        <w:t>Jag ber då att allra först få säga, i den av den senaste ärade talaren berörda principfrågan vart detta ärende rätteligen hör, att jag måste ställa mig bestämt på den ståndpunkten, att det såsom avseende kyrkans inre gudstjänstordning hör under kyrkomötets befogenhetsområde. Det beror alltså inte på, att jag skulle på något sätt underkänna kammarens kompetens eller förutsättningar att bedöma frågan. Det kan därvid inte heller falla mig in att sätta någon inbillad egen auktoritet emot den ärade föregående talarens, utan när jag vågar uttala denna mening, stöder jag mig på auktoritativa uttalanden av representanter för 1 övrigt mycket skilda åsiktsriktningar. Jag erinrar till exempel om att herr Värner Rydén, när denna fråga år 1930 första gången diskuterades i riksdagen, mycket bestämt hävdade den uppfattningen, att detta vore en typisk kyrkomötesfråga, och samma mening har uttalats av biskop Bergqvist, professor Reuterskiöld i första kammaren och flera andra.</w:t>
        <w:br/>
        <w:br/>
        <w:t>Av handlingarna i ärendet framgår emellertid inte klart, huruvida man har tänkt sig, att kyrkomötet ens skulle höras i ärendet. Motionärerna ha inte uttalat sig om den saken, inte heller utskottet i första kammaren, inte heller har reservanten gjort det. Om man däremot går till urkunderna, finner man, att Sveriges religiösa reformförbund i ett yttrande över fjolårets motion, ett yttrande, som är bifogat förstakammarutskottets yttrande, har förordat, att Kungl. Maj:t på egen hand, även mot kyrkomötets bestämda nej, skulle förklara ett visst högmässoritual godkänt för användning i svenska kyrkan. Nu vet jag inte, om reservanten delar denna mening, men om ett biträdande av första kammarens beslut får anses innebära en anslutning till denna mening, så måste jag finna det ytterst beklagligt om andra kammaren skulle biträda reservationen.</w:t>
        <w:br/>
        <w:br/>
        <w:t>Inte heller med hänsyn till handboksfrågans läge kan det enligt min mening anses påkallat, att riksdagen nu uttalar sig i ärendet. Kyrkomötet är nämligen inte alls så otillgängligt eller omedgörligt, när det gäller handboksänd-</w:t>
        <w:br/>
        <w:br/>
        <w:t>Ang. alternativt ritual för högmässa. (Forts.) ringar, som man på sina håll synes föreställa sig. Fjolårets kyrkomöte antog för sin del dels förslag till ändrat dopritual, dels ny ordning för skriftemåls infogande i högmässan. Här är man sålunda inne på de partiella reformernas väg. I fråga om en allmän handboksrevision har kyrkomötet, såsom det här har påmints om, år 1929 förnyat sin underdåniga framställning till Kungl. Maj:t om en fortsatt varsam revision av kyrkohandboken. Nuvarande statsrådet och chefen för ecklesiastikdepartementet har ju själv i egenskap av lekmannaombud vid det senaste kyrkomötet varit i tillfälle att taga del av stämningar och tänkesätt i dessa stycken, och jag tycker, att såväl motionärerna som reservanten och den ärade föregående talaren skulle kunna med förtroende överlämna åt Kungl. Maj:t att taga det initiativ till fortsatt utredning i ärendet, varom kyrkomötet vid upprepade tillfällen gjort underdånig framställning till Kungl. Maj:t.</w:t>
        <w:br/>
        <w:br/>
        <w:t>Då dessa synpunkter äro avgörande för mitt ställningstagande till den föreliggande frågan, finner jag inte anledning att fördjupa mig i spörsmålet, huruvida åtgärder i enlighet med motionärernas och reservantens framställning 1 och för sig äro önskvärda eller inte. Här ha motionärerna sin uppfattning, och jag har min uppfattning. Jag förstår, att det kan vara så, att motionärernas uppfattning delas av befolkningen i vissa delar av landet. Det vet jag inte och skall därför inte uttala någon bestämd mening därom. Men vad jag vet och vad jag vågar uttala mig om ganska bestämt är, att detta icke är förhållandet i andra delar av landet. I den landsända, där jag tror mig något så när känna befolkningens tänkesätt, en landsända, där kyrkan ju av ålder intar en mycket central ställning i folkets liv och där kyrksamheten alltjämt är glädjande stor, där, jag vågar säga, menigheten på ett alldeles särskilt sätt lever med i gudstjänstfirandet. där är det så långt ifrån att det önskemål, som här är framfört, delas av befolkningen i allmänhet, att det tvärtom förhåller sig så, att införandet av nya, främmande element i gudstjänstordningen skulle öva ett störande och menligt inflytande på församlingens deltagande i gudstjänstfirandet.</w:t>
        <w:br/>
        <w:br/>
        <w:t>Det är, tror jag, inte heller så mycket ett allmänt församlingsintresse, som ligger bakom detta förslag. Vad det djupast bottnar i får man kanske ett begrepp om, därest man än en gång går till de av mig förut åberopade urkunderna. Vid 1929 års kyrkomöte väcktes av ordföranden i Sveriges religiösa reformförbund en motion om alternativ till kyrkohandboken. I denna motion, som väl får anses särskilt representativ för här ifrågavarande strävanden, talar motionären om »konflikten mellan altare och predikstol», som det gäller att avveckla. Det är, säger han, »nu rätt mycket i altarets förkunnelse, som kännes besvärande för många både bland präster och lekmän. Svårigheterna med apostolicum kunna knappast fördöljas». I det alternativ, som finnes bitogat fjolårets utlåtande i första kammaren, återfinnes heller inte den aposto- Uska trosbekännelsen.</w:t>
        <w:br/>
        <w:br/>
        <w:t>Det är med andra ord innehållet i kyrkans bekännelse, som det här djupast rör sig om. Det är fråga om en »avdogmatisering av kyrkan», som en av motionens förespråkare i första kammaren har uttryckt det. Jag skulle verkligen vilja vädja till kammarens ledamöter, om det kan vara alldeles riktigt och välbetänkt, att vi på grundval av det material, som här föreligger, sätta oss till doms i dessa frågor, eller om det inte från olika synpunkter är riktigare och lämpligare att låta frågan om en revision av svenska kyrkans handbok handläggas 1 den ordning, varom kyrkomötet i upprepade underdåniga skrivelser till Kungl. Maj:t gjort framställning.</w:t>
        <w:br/>
        <w:br/>
        <w:t>Jag vågar, herr talman, från dessa mina allmänna utgångspunkter hemställa om bifall till utskottets yrkande.</w:t>
        <w:br/>
        <w:br/>
        <w:t xml:space="preserve">I detta anförande instämde </w:t>
      </w:r>
      <w:r>
        <w:rPr>
          <w:b/>
        </w:rPr>
        <w:t>fröken²</w:t>
      </w:r>
      <w:r>
        <w:rPr>
          <w:b w:val="0"/>
        </w:rPr>
        <w:t xml:space="preserve"> Wellin samt herrar Arnemark, Persson i Fritorp, Johansson i Krogstorp, Andersson i Lindome, Hillgård, Hansson i Rubbestad, Gustafson i Kasenberg, Olsson i Staxäng, Hansson i Hönö, Larsson, Magnusson i Skövde, Beck, Nilsson i Karlstad, Brännström, Lindmark, Johansson 1 Tväråselet, Christiernsson, Jonsson i Mörbylånga och andre vice talmannen Magnusson.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