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2004</w:t>
      </w:r>
    </w:p>
    <w:p>
      <w:r>
        <w:rPr>
          <w:b/>
        </w:rPr>
        <w:t xml:space="preserve">Datum: </w:t>
      </w:r>
      <w:r>
        <w:t>1934-05-02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Andersson (Socialdemokraterna, man)</w:t>
      </w:r>
    </w:p>
    <w:p>
      <w:r>
        <w:rPr>
          <w:b w:val="0"/>
        </w:rPr>
        <w:t xml:space="preserve">Herr talman! Bankoutskottet har här gått utöver vad Kungl. Maj:t föreslagit i fråga om pension till </w:t>
      </w:r>
      <w:r>
        <w:rPr>
          <w:b/>
        </w:rPr>
        <w:t>änkan²</w:t>
      </w:r>
      <w:r>
        <w:rPr>
          <w:b w:val="0"/>
        </w:rPr>
        <w:t xml:space="preserve"> Carlgren. Departementschefen säger här i sitt förslag, att han finner, att han måste, om ock med tvekan, förorda, att det blir någon ökning av den utgående pensionen, och han förordar att stanna vid 350 kronor. Utskottet har höjt detta av departementschefen föreslagna belopp till 600 kronor. Jag ber att få erinra om, att till </w:t>
      </w:r>
      <w:r>
        <w:rPr>
          <w:b/>
        </w:rPr>
        <w:t>änkan²</w:t>
      </w:r>
      <w:r>
        <w:rPr>
          <w:b w:val="0"/>
        </w:rPr>
        <w:t xml:space="preserve"> Carlgren och </w:t>
      </w:r>
      <w:r>
        <w:rPr>
          <w:b/>
        </w:rPr>
        <w:t>hennes²</w:t>
      </w:r>
      <w:r>
        <w:rPr>
          <w:b w:val="0"/>
        </w:rPr>
        <w:t xml:space="preserve"> </w:t>
      </w:r>
      <w:r>
        <w:rPr>
          <w:b/>
        </w:rPr>
        <w:t>dotter²</w:t>
      </w:r>
      <w:r>
        <w:rPr>
          <w:b w:val="0"/>
        </w:rPr>
        <w:t xml:space="preserve"> utgå efter nu gällande bestämmelser, såvitt framgår av utskottets betänkande, 1,028 kronor, av vilka 788 kronor kom-</w:t>
        <w:br/>
        <w:br/>
        <w:t xml:space="preserve">Ang. pension åt stiftssekreteraren A. E. Carlgrens efterlevande. (Forts.) ma på </w:t>
      </w:r>
      <w:r>
        <w:rPr>
          <w:b/>
        </w:rPr>
        <w:t>änkan²</w:t>
      </w:r>
      <w:r>
        <w:rPr>
          <w:b w:val="0"/>
        </w:rPr>
        <w:t xml:space="preserve"> Carlgren. Med det av departementschefen föreslagna tillägget av 350 kronor skulle på </w:t>
      </w:r>
      <w:r>
        <w:rPr>
          <w:b/>
        </w:rPr>
        <w:t>änkan²</w:t>
      </w:r>
      <w:r>
        <w:rPr>
          <w:b w:val="0"/>
        </w:rPr>
        <w:t xml:space="preserve"> komma 1,138 kronor. Räknar man härtill dyrtidstillägget, kommer man upp till 1,274 kronor. Vi få komma ihåg, att här finnes en behållning i boet på cirka 30,000 kronor. Arvingarna äro </w:t>
      </w:r>
      <w:r>
        <w:rPr>
          <w:b/>
        </w:rPr>
        <w:t>änkan²</w:t>
      </w:r>
      <w:r>
        <w:rPr>
          <w:b w:val="0"/>
        </w:rPr>
        <w:t xml:space="preserve"> jämte en </w:t>
      </w:r>
      <w:r>
        <w:rPr>
          <w:b/>
        </w:rPr>
        <w:t>dotter²</w:t>
      </w:r>
      <w:r>
        <w:rPr>
          <w:b w:val="0"/>
        </w:rPr>
        <w:t xml:space="preserve"> på 20—21 år. Jag har för min del tillsammans med herr Lovén funnit, att det förslag, som föreligger från departementschefen om en tilläggspension på 350 kronor, täcker det föreliggande behovet. Det har varit anledningen till att vi reserverat oss mot det förslag, vartill utskottet kommit.</w:t>
        <w:br/>
        <w:br/>
        <w:t>Det kan i och för sig icke hava särdeles stor betydelse, om riksdagen i detta fall skulle gå på utskottets förslag. Men det skapar prejudikat, som sedan lägges till grund för kommande beslut.</w:t>
        <w:br/>
        <w:br/>
        <w:t>Men det är icke enbart detta, som för mig är avgörande, utan det avgörande är, att det är så ofta det föreligger frågor om pensioner till änkor efter avlidna befattningshavare, där man bort få ett belopp på 300—500 kronor men där det prutas ner. Här föreligger en behållning på 30,000 kronor och en pension med dyrtidstillägg, som går upp till nära 1,300 kronor. Det förefaller som om Kungl. Maj:ts förslag vore skäligt.</w:t>
        <w:br/>
        <w:br/>
        <w:t>Jag hemställer, herr talman, om bifall till Kungl. Maj:ts förslag.</w:t>
      </w:r>
    </w:p>
    <w:p>
      <w:pPr>
        <w:pStyle w:val="Heading2"/>
      </w:pPr>
      <w:r>
        <w:t>2. Anders Paulsen (Socialdemokraterna, man)</w:t>
      </w:r>
    </w:p>
    <w:p>
      <w:r>
        <w:rPr>
          <w:b w:val="0"/>
        </w:rPr>
        <w:t xml:space="preserve">Herr talman! Jag har för min del reserverat mig för avslag å både Kungl. Maj:ts proposition och motionen. Jag anser nämligen, att </w:t>
      </w:r>
      <w:r>
        <w:rPr>
          <w:b/>
        </w:rPr>
        <w:t>änkan²</w:t>
      </w:r>
      <w:r>
        <w:rPr>
          <w:b w:val="0"/>
        </w:rPr>
        <w:t xml:space="preserve"> Carlgren har i pension i det närmaste 800 kronor. </w:t>
      </w:r>
      <w:r>
        <w:rPr>
          <w:b/>
        </w:rPr>
        <w:t>Hon²</w:t>
      </w:r>
      <w:r>
        <w:rPr>
          <w:b w:val="0"/>
        </w:rPr>
        <w:t xml:space="preserve"> har dyrtidstilllägg bortåt 100 kronor. Det gör alltså tillsammans omkring 900 kronor. </w:t>
      </w:r>
      <w:r>
        <w:rPr>
          <w:b/>
        </w:rPr>
        <w:t>Hon²</w:t>
      </w:r>
      <w:r>
        <w:rPr>
          <w:b w:val="0"/>
        </w:rPr>
        <w:t xml:space="preserve"> har hälften av en förmögenhet på 30,000 kronor. </w:t>
      </w:r>
      <w:r>
        <w:rPr>
          <w:b/>
        </w:rPr>
        <w:t>Hon²</w:t>
      </w:r>
      <w:r>
        <w:rPr>
          <w:b w:val="0"/>
        </w:rPr>
        <w:t xml:space="preserve"> har enligt min mening tillräckligt att leva av utan att behöva den tilläggspension, som Kungl. Maj:t föreslagit.</w:t>
        <w:br/>
        <w:br/>
        <w:t xml:space="preserve">Emellertid säger domkapitlet om </w:t>
      </w:r>
      <w:r>
        <w:rPr>
          <w:b/>
        </w:rPr>
        <w:t>henne²</w:t>
      </w:r>
      <w:r>
        <w:rPr>
          <w:b w:val="0"/>
        </w:rPr>
        <w:t xml:space="preserve">, att det är uppenbart, att </w:t>
      </w:r>
      <w:r>
        <w:rPr>
          <w:b/>
        </w:rPr>
        <w:t>hon²</w:t>
      </w:r>
      <w:r>
        <w:rPr>
          <w:b w:val="0"/>
        </w:rPr>
        <w:t xml:space="preserve">, som har svag hälsa och är nära 60 år gammal, omöjligen kan få sin nödtorftiga bärgning därav. Ja, så där låter det denna gång, men när det gäller andra fattiga änkor, som hava betydligt mindre att leva av, då får man sannerligen icke sådana utlåtanden från det hållet. Det vore önskligt, om man komme med sådana utlåtanden litet oftare än man gör. Man vill emellertid icke ge denna ökade pension åt denna </w:t>
      </w:r>
      <w:r>
        <w:rPr>
          <w:b/>
        </w:rPr>
        <w:t>änka²</w:t>
      </w:r>
      <w:r>
        <w:rPr>
          <w:b w:val="0"/>
        </w:rPr>
        <w:t xml:space="preserve"> för den tjänst </w:t>
      </w:r>
      <w:r>
        <w:rPr>
          <w:b/>
        </w:rPr>
        <w:t>hennes²</w:t>
      </w:r>
      <w:r>
        <w:rPr>
          <w:b w:val="0"/>
        </w:rPr>
        <w:t xml:space="preserve"> man haft, utan man vill ge denna tilläggspension för det arbete, som han gjort utanför tjänsten. Utskottet säger också härom: »Med hänsyn till den betydande insats, Carlgren 1 sin verksamhet inom landets nordligaste län gjort särskilt för främjandet av utvecklingen av Norrbottens arbetsstugor, finner utskottet sig emellertid böra föreslå, att tilläggspensionen åt </w:t>
      </w:r>
      <w:r>
        <w:rPr>
          <w:b/>
        </w:rPr>
        <w:t>änkefru²</w:t>
      </w:r>
      <w:r>
        <w:rPr>
          <w:b w:val="0"/>
        </w:rPr>
        <w:t xml:space="preserve"> Carlgren — närmast såsom ett uttryck av erkännande för mannens verksamhet —.» Det är nog icke i vanlig ordning, att man beviljar </w:t>
      </w:r>
      <w:r>
        <w:rPr>
          <w:b/>
        </w:rPr>
        <w:t>änkepension²</w:t>
      </w:r>
      <w:r>
        <w:rPr>
          <w:b w:val="0"/>
        </w:rPr>
        <w:t xml:space="preserve"> för den verksamhet, som mannen under livstiden haft på andra områden än där han har haft sin tjänst, och jag tror icke det är skäl att slå in på den vägen, ty då kan det hända, att pensionerna komma att bli helt andra och vida större än de för närvarande äro.</w:t>
        <w:br/>
        <w:br/>
        <w:t>Jag ber sålunda för min del att få yrka avslag både på Kungl. Maj:ts proposition och motionen, alltså även avslag på utskottets hemställan.</w:t>
      </w:r>
    </w:p>
    <w:p>
      <w:pPr>
        <w:pStyle w:val="Heading2"/>
      </w:pPr>
      <w:r>
        <w:t>3. Edvin Leffler (–, man)</w:t>
      </w:r>
    </w:p>
    <w:p>
      <w:r>
        <w:rPr>
          <w:b w:val="0"/>
        </w:rPr>
        <w:t>Herr talman! Jag skall till en början något beröra det anförande, som herr Andersson i Falkenberg höll. Har uttalade betänkligheter emot att ett beslut i enlighet med utskottets förslag skulle vara prejudicerande för framtiden. Jag ber att få fästa uppmärksamheten vid, att man knappast kan behöva befara något sådant. Det gäller här en stiftssekreterare, och sådana hava vi icke många i landet, jag tror högst fyra eller fem stycken, och kammaren gör sig dessutom icke skyldig till något avsteg från vad riksdagen tidi-</w:t>
        <w:br/>
        <w:br/>
        <w:t xml:space="preserve">Ang. pension åt stiftssekreteraren A. E. Carlgrens efterlevande. (Forts.) gare har beslutat, om kammaren nu följer utskottet, därför att riksdagen för ett par år sedan beviljade en liknande förhöjd pension efter en stiftssekreterare i Göteborgs stift. Herr Andersson i Falkenberg nämnde sedan, att </w:t>
      </w:r>
      <w:r>
        <w:rPr>
          <w:b/>
        </w:rPr>
        <w:t>hennes²</w:t>
      </w:r>
      <w:r>
        <w:rPr>
          <w:b w:val="0"/>
        </w:rPr>
        <w:t xml:space="preserve"> förmögenhet utgjorde 30,000 kronor. Det är ju sant, att så är förhållandet, men i dessa 30,000 ingår en stor del av </w:t>
      </w:r>
      <w:r>
        <w:rPr>
          <w:b/>
        </w:rPr>
        <w:t>hennes²</w:t>
      </w:r>
      <w:r>
        <w:rPr>
          <w:b w:val="0"/>
        </w:rPr>
        <w:t xml:space="preserve"> bo, och man kan väl knappast leva av räntorna på vad ett bo kan avkasta, man får i så fall realisera detta, och då vet man, vilka summor man brukar få ut för sådant. Som jag nämnde, ändrar icke riksdagen nu på något sätt sin inställning till hithörande frågor, om riksdagen går med på bankoutskottets förslag på denna punkt, och det är så mycket större anledning att göra så, som en stiftssekreterare icke har möjlighet i sin egenskap av sådan att få ut den pension, som nu utgår till med honom jämförbara tjänstemän, men vilka äro medlemmar i civilstatens </w:t>
      </w:r>
      <w:r>
        <w:rPr>
          <w:b/>
        </w:rPr>
        <w:t>änkeoch²</w:t>
      </w:r>
      <w:r>
        <w:rPr>
          <w:b w:val="0"/>
        </w:rPr>
        <w:t xml:space="preserve"> pupillkassa, och det har varit just den omständigheten som tidigare föranlett riksdagen att bevilja förhöjd pension. Det gäller här en summa av 250 kronors ökning, och utskottet har velat taga hänsyn till den motion, som framburits av biskop Bergqvist m. fl., däri de mycket starkt framhålla de tjänster, som stiftssekreterare Carlgren har gjort vårt land och vårt folk uppe i nordligaste Norrland genom inrättande av arbetsstugor m. m., som han gått in för med stort intresse, och varigenom han tillfört vårt folk där uppe stora värden av såväl social som etisk betydelse. Man kan då tycka, att ett bifall till utskottets förslag så till vida att man höjer den av Kungl. Maj:t föreslagna pensionen till 600 kronor kunde anses vara ganska rimligt, och jag tillåter mig därför, herr talman, att hemställa om, att andra kammaren ville biträda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