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2010</w:t>
      </w:r>
    </w:p>
    <w:p>
      <w:r>
        <w:rPr>
          <w:b/>
        </w:rPr>
        <w:t xml:space="preserve">Datum: </w:t>
      </w:r>
      <w:r>
        <w:t>1934-05-11</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Loven (Socialdemokraterna, man)</w:t>
      </w:r>
    </w:p>
    <w:p>
      <w:r>
        <w:rPr>
          <w:b w:val="0"/>
        </w:rPr>
        <w:t xml:space="preserve">Herr talman! Jag vill till herr Anderson i Råstock bara säga det, att jag undrar vart det skulle leda hän, om riksdagen här skulle ge sig in på att premiera en person, som blivit dömd till ett större eller mindre straff, och som icke har någon juridisk rätt till pension. Herr Anderson i Råstock sade, att om en människa blivit dömd för någon förseelse och avtjänat sitt straff, så skulle han av samhället betraktas såsom lika god kamrat. Ja, kör för det, men det är en helt annan sak, om sedan staten eller andra skola premiera </w:t>
      </w:r>
      <w:r>
        <w:rPr>
          <w:b/>
        </w:rPr>
        <w:t>henne²</w:t>
      </w:r>
      <w:r>
        <w:rPr>
          <w:b w:val="0"/>
        </w:rPr>
        <w:t xml:space="preserve"> genom att ge vederbörande pension. Herr Anderson aktar sig nog att tillämpa den principen åtminstone i de pensionskassor, där han själv är styrelseledamot.</w:t>
      </w:r>
    </w:p>
    <w:p>
      <w:pPr>
        <w:pStyle w:val="Heading2"/>
      </w:pPr>
      <w:r>
        <w:t>2. Anders Olsson (Folkpartiet, man)</w:t>
      </w:r>
    </w:p>
    <w:p>
      <w:r>
        <w:rPr>
          <w:b w:val="0"/>
        </w:rPr>
        <w:t>Herr talman! Även jag vill säga, att det är icke så, som statsutskottets ärade ordförande här velat göra gällande, att riksdagen skulle stå färdig att nu utmäta något straff efter sedan domstolen avkunnat sin dom. Det är i stället så, att riksdagen konstaterar, att förre underståthållaren Tamm icke är berättigad till pension och fattar sitt beslut i anslutning till vad den sålunda konstaterat.</w:t>
      </w:r>
    </w:p>
    <w:p>
      <w:pPr>
        <w:pStyle w:val="Heading2"/>
      </w:pPr>
      <w:r>
        <w:t>3. Anders Råstock (Socialdemokraterna, man)</w:t>
      </w:r>
    </w:p>
    <w:p>
      <w:r>
        <w:rPr>
          <w:b w:val="0"/>
        </w:rPr>
        <w:t xml:space="preserve">Herr talman! Jag vill bara säga ett par ord till herr Lovén. Så pass länge som vi varit kamrater i enskilda järnvägarnas pensionskassas bestämmande institution, dess fullmäktige, kan det icke skada, om herr Lovén erinrar sig, att jag ständigt sagt, att den omständigheten, att en människa begått ett fel, får icke beröva </w:t>
      </w:r>
      <w:r>
        <w:rPr>
          <w:b/>
        </w:rPr>
        <w:t>henne²</w:t>
      </w:r>
      <w:r>
        <w:rPr>
          <w:b w:val="0"/>
        </w:rPr>
        <w:t xml:space="preserve"> </w:t>
      </w:r>
      <w:r>
        <w:rPr>
          <w:b/>
        </w:rPr>
        <w:t>hennes²</w:t>
      </w:r>
      <w:r>
        <w:rPr>
          <w:b w:val="0"/>
        </w:rPr>
        <w:t xml:space="preserve"> pensionsmöjligheter. Den ståndpunkten är nästan lika gammal som jag, höll jag på att säga. Det kan jag ju emellertid icke säga. Men så länge jag har varit med, har jag också varit med om att biträda den ståndpunkten. Det är den enda, som håller. Ett subjektivt bedömande går icke att anlägga här med vidare fram-</w:t>
        <w:br/>
        <w:br/>
        <w:t>Jag vidhåller mitt yrkande.</w:t>
      </w:r>
    </w:p>
    <w:p>
      <w:pPr>
        <w:pStyle w:val="Heading2"/>
      </w:pPr>
      <w:r>
        <w:t>4. Anders Paulsen (Socialdemokraterna, man)</w:t>
      </w:r>
    </w:p>
    <w:p>
      <w:r>
        <w:rPr>
          <w:b w:val="0"/>
        </w:rPr>
        <w:t xml:space="preserve">Herr talman! Det gäller här en </w:t>
      </w:r>
      <w:r>
        <w:rPr>
          <w:b/>
        </w:rPr>
        <w:t>änka²</w:t>
      </w:r>
      <w:r>
        <w:rPr>
          <w:b w:val="0"/>
        </w:rPr>
        <w:t xml:space="preserve">, som varit </w:t>
      </w:r>
      <w:r>
        <w:rPr>
          <w:b/>
        </w:rPr>
        <w:t>städerska³</w:t>
      </w:r>
      <w:r>
        <w:rPr>
          <w:b w:val="0"/>
        </w:rPr>
        <w:t xml:space="preserve"> på postkontoret i Tidaholm i 16 år. Nu är </w:t>
      </w:r>
      <w:r>
        <w:rPr>
          <w:b/>
        </w:rPr>
        <w:t>hon²</w:t>
      </w:r>
      <w:r>
        <w:rPr>
          <w:b w:val="0"/>
        </w:rPr>
        <w:t xml:space="preserve"> gammal och orkeslös och behöver understöd. För ett par minuter sedan har kammaren bifallit två propositioner. Det gällde i det ena fallet punkten 32 i förra betänkandet. Där var det en, som varit </w:t>
      </w:r>
      <w:r>
        <w:rPr>
          <w:b/>
        </w:rPr>
        <w:t>städerska³</w:t>
      </w:r>
      <w:r>
        <w:rPr>
          <w:b w:val="0"/>
        </w:rPr>
        <w:t xml:space="preserve"> i statskontoret i nio år. I andra fallet, punkten 38, gällde det en, som varit </w:t>
      </w:r>
      <w:r>
        <w:rPr>
          <w:b/>
        </w:rPr>
        <w:t>städerska³</w:t>
      </w:r>
      <w:r>
        <w:rPr>
          <w:b w:val="0"/>
        </w:rPr>
        <w:t xml:space="preserve"> 1 skolöverstyrelsen i sju år. Där gingo utskottet och kammaren utan vidare in för pension. Här gäller det en </w:t>
      </w:r>
      <w:r>
        <w:rPr>
          <w:b/>
        </w:rPr>
        <w:t>städerska³</w:t>
      </w:r>
      <w:r>
        <w:rPr>
          <w:b w:val="0"/>
        </w:rPr>
        <w:t>, som dock varit i statens tjänst i 16 år, men här har utskottet gått på avslag. Det ser onekligen mycket egendomligt ut, om man skall behandla människor så olika. I de första fallen gällde det visserligen propositioner, och här är det en motion. De första städerskorna, beträffande vilka vi fattade beslut för en stund sedan, voro anställda här i staden, medan denna varit anställd i landsorten, Tidaholm. Men när vi beviljat pension för de två</w:t>
        <w:br/>
        <w:br/>
        <w:t>Ang. pension åt f. städerskan K.J. V. Skoglund. (Forts.) första, är det rimligt att bevilja pension för den sista, som varit lika länge i tjänst som de två andra tillsammans.</w:t>
        <w:br/>
        <w:br/>
        <w:t>Jag kan upplysa, att första kammaren redan gått in för motionen, och jag ber, herr talman, att få yrka bifall till reservationen.</w:t>
      </w:r>
    </w:p>
    <w:p>
      <w:pPr>
        <w:pStyle w:val="Heading2"/>
      </w:pPr>
      <w:r>
        <w:t>5. Edvin Leffler (–, man)</w:t>
      </w:r>
    </w:p>
    <w:p>
      <w:r>
        <w:rPr>
          <w:b w:val="0"/>
        </w:rPr>
        <w:t xml:space="preserve">Herr talman! Vad beträffar denna punkt kan jag bekräfta herr Paulsens påpekande, att denna </w:t>
      </w:r>
      <w:r>
        <w:rPr>
          <w:b/>
        </w:rPr>
        <w:t>städerska³</w:t>
      </w:r>
      <w:r>
        <w:rPr>
          <w:b w:val="0"/>
        </w:rPr>
        <w:t xml:space="preserve"> tjänstgjort i 16 år, medan de föregående tjänstgjort kortare tid. Men å andra sidan vill jag säga, att tjänstgöringen i de två föregående fallen varit betydligt mycket längre per dag än vad förhållandet varit här. Denna </w:t>
      </w:r>
      <w:r>
        <w:rPr>
          <w:b/>
        </w:rPr>
        <w:t>städerska³</w:t>
      </w:r>
      <w:r>
        <w:rPr>
          <w:b w:val="0"/>
        </w:rPr>
        <w:t xml:space="preserve"> har endast tjänstgjort en eller två timmar om dagen på sin höjd, medan de andras tjänstgöring varit minst det dubbla. Det har varit denna omständighet, som föranlett utskottets ståndpunkt.</w:t>
        <w:br/>
        <w:br/>
        <w:t>Jag tillåter mig yrka bifall till utskottets hemställan.</w:t>
      </w:r>
    </w:p>
    <w:p>
      <w:pPr>
        <w:pStyle w:val="Heading2"/>
      </w:pPr>
      <w:r>
        <w:t>6. Anders Paulsen (Socialdemokraterna, man)</w:t>
      </w:r>
    </w:p>
    <w:p>
      <w:r>
        <w:rPr>
          <w:b w:val="0"/>
        </w:rPr>
        <w:t xml:space="preserve">Skillnaden i tjänstgöringstiden har möjligen varit en timme. </w:t>
      </w:r>
      <w:r>
        <w:rPr>
          <w:b/>
        </w:rPr>
        <w:t>Hon²</w:t>
      </w:r>
      <w:r>
        <w:rPr>
          <w:b w:val="0"/>
        </w:rPr>
        <w:t xml:space="preserve"> har haft en timme mindre tjänstgöring om dagen än de andra.</w:t>
      </w:r>
    </w:p>
    <w:p>
      <w:pPr>
        <w:pStyle w:val="Heading2"/>
      </w:pPr>
      <w:r>
        <w:t>7. Oscar Carlström (–, man)</w:t>
      </w:r>
    </w:p>
    <w:p>
      <w:r>
        <w:rPr>
          <w:b w:val="0"/>
        </w:rPr>
        <w:t>Herr talman! Jag borde kanske av den</w:t>
        <w:br/>
        <w:br/>
        <w:t>utgång, som näst föregående punkt fick, hoppas, att även här föreliggande punkt skulle bifallas av riksdagen eller andra kammaren i första hand. Men jag vågar ju ändock icke hoppas det. Ty jag tror, att generalpoststyrelsens och statskontorets åberopande av vad som skedde vid fjolårets riksdag i fråga om en motion av samma innebörd lägger så att säga hinder i vägen för att kammaren skulle kunna gå med på vad jag här yrkat angående denne lantbrevbärare. Jag skall sålunda för min del icke ens yrka bifall till motionen.</w:t>
        <w:br/>
        <w:br/>
        <w:t xml:space="preserve">Men då man finner, att bankoutskottet, som här i nyss förevarande ärende påpekades, kan gå in för att bevilja pension till en </w:t>
      </w:r>
      <w:r>
        <w:rPr>
          <w:b/>
        </w:rPr>
        <w:t>städerska³</w:t>
      </w:r>
      <w:r>
        <w:rPr>
          <w:b w:val="0"/>
        </w:rPr>
        <w:t xml:space="preserve"> här uppe i Stockholm, som har tjänstgjort i sex år, måste jag uttala min synnerliga förvåning över de principer, som det värda bankoutskottet tillämpar. Det synes mig vara något underligt, att man icke kan värdera en lantbrevbärares tjänster bättre. Han arbetar kanske mera än 5—6 timmar om dagen. Han är ofta ute i regn och rusk, när han gör sina postturer från poststationen uti bygden. Han har säkerligen kunnat göra samma nytta åt folket på orten och för övrigt åt staten som en </w:t>
      </w:r>
      <w:r>
        <w:rPr>
          <w:b/>
        </w:rPr>
        <w:t>städerska³</w:t>
      </w:r>
      <w:r>
        <w:rPr>
          <w:b w:val="0"/>
        </w:rPr>
        <w:t xml:space="preserve"> här uppe har gjort i ett statens verk. Det är bara dessa funderingar, herr talman, som jag här velat framföra.</w:t>
      </w:r>
    </w:p>
    <w:p>
      <w:pPr>
        <w:pStyle w:val="Heading2"/>
      </w:pPr>
      <w:r>
        <w:t>8. Oscar Lövgren (Socialdemokraterna, man)</w:t>
      </w:r>
    </w:p>
    <w:p>
      <w:r>
        <w:rPr>
          <w:b w:val="0"/>
        </w:rPr>
        <w:t xml:space="preserve">Herr talman! När jag läst igenom det här utskottsbetänkandet, så har jag fått samma intryck som en talare nyss förut anfört, att det måtte vara mycket konstigt beställt med principerna i bankoutskottet. TI det ena fallet går man in för pensionering av en </w:t>
      </w:r>
      <w:r>
        <w:rPr>
          <w:b/>
        </w:rPr>
        <w:t>städerska³</w:t>
      </w:r>
      <w:r>
        <w:rPr>
          <w:b w:val="0"/>
        </w:rPr>
        <w:t xml:space="preserve"> med en anställningstid på 6—7 år, och i det andra fallet säger man nej, när det gäller en banarbetare, som har en anställningstid, som visserligen icke är kontinuerlig men som dock överspänner tiden från 1891 till 1932, en person, som huvudsakligen har vunnit sin bärgning genom arbete i statens tjänst. Jag kan uppriktigt sagt icke förstå rättvisan i att när det gäller tjänstemän och då framför allt dem, som komma upp i de högre lönegraderna, räkna med hela år, om de överhuvud taget under året haft anställning, men i fråga om banarbetare och enkla människor räkna ihop dagar till veckor, veckor till månader, månader till år. En anställningstid, som spänner över 30 år, får man sålunda ned till 15, 16 år. Sedan säger man, att man ger ingen pension åt vederbörande. Om herrarna titta på punkten 14 i samma betänkande, finna ni, att en jägmästare förtidspensioneras vid 47 års ålder och efter 19 års anställning. Han har rätt att uppbära 2,768 kronor om året, men man föreslår, att pensionen skall höjas till 4,020 kronor. Jag kan uppriktigt sagt icke förstå, var rättvisan ligger i det sätt, varpå man utmäter pensioner. — Jag ber herr talman, att få yrka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