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743</w:t>
      </w:r>
    </w:p>
    <w:p>
      <w:r>
        <w:rPr>
          <w:b/>
        </w:rPr>
        <w:t xml:space="preserve">Datum: </w:t>
      </w:r>
      <w:r>
        <w:t>1934-05-16</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Ivan Pauli (Socialdemokraterna, man)</w:t>
      </w:r>
    </w:p>
    <w:p>
      <w:r>
        <w:rPr>
          <w:b w:val="0"/>
        </w:rPr>
        <w:t>Herr talman! Det utlåtande som nu föreligger från statsutskottet behandlar en fråga, som sedan nära två årtionden har varit föremål för statsmakternas utredningar i avsikt att genomföra en omorganisation av gymnastiska centralinstitutet. Det har visat sig vara mer än vanligt svårt att därvid få fram ett för olika parter tillfredsställande positivt förslag. Inte mindre än sju olika utredningar ha företagits, men ingen av de sex tidigare har lett till ett resultat, som kunnat godtagas av regering och riksdag gemensamt. Senast för två år sedan hade, utom den utredning som då förelåg, statsutskottet utarbetat ett särskilt förslag, som innebar ganska betydande modifikationer i det av sakkunniga och Kungl. Maj:t framlagda, men inte heller detta vann båda kamrarnas bifall.</w:t>
        <w:br/>
        <w:br/>
        <w:t>Nu har en ny proposition framlagts på grundval av en utredning, som företogs i höstas av direktionen för gymnastiska centralinstitutet på uppdrag av statsrådet och chefen för ecklesiastikdepartementet. Den utredning, som sålunda förebragts, har i allt väsentligt legat till grund för den proposition, som nu föreligger, och det utlåtande, som statsutskottet framlagt, skiljer sig inte heller i några väsentliga avseenden från vare sig propositionen eller den av direktionen gjorda utredningen. Vid denna följdes de direktiv, som ecklesiastikministern förelagt direktionen och som i stort sett voro desamma som de huvudlinjer, vilka upplagts av statsutskottet för två år sedan.</w:t>
        <w:br/>
        <w:br/>
        <w:t>Innebörden av dessa är framför allt, att undervisningen och utbildningen vid gymnastiska centralinstitutet uppdelas på två linjer, den ena avseende att leda fram till en examen för gymnastiklärare och ledare i lek och idrott, den andra avseende att utbilda sjukgymnaster, som särskilt skulle vara lämpade att tjänstgöra vid våra sjukhus, där behovet av sådana är i ständigt stigande. Den förstnämnda utbildningslinjen för gymnastiklärare är avsedd att omfatta två år, den andra är, tills vidare i varje fall, avsedd att omfatta tre terminer.</w:t>
        <w:br/>
        <w:br/>
        <w:t xml:space="preserve">Jag skall här inte gå in på någon närmare redogörelse för detaljerna i detta förslag; åtskilliga av dem komma vi ju att i den kommande diskussionen få beröra. Jag har nu närmast begärt ordet för att beröra en motion, som avser löneställningen för lärarna vid institutet. Löneställningen har av direktionen föreslagits vara lika för lärarna i gymnastik och idrott, vare sig de äro manliga eller </w:t>
      </w:r>
      <w:r>
        <w:rPr>
          <w:b/>
        </w:rPr>
        <w:t>kvinnliga¹</w:t>
      </w:r>
      <w:r>
        <w:rPr>
          <w:b w:val="0"/>
        </w:rPr>
        <w:t xml:space="preserve">. Detta är överensstämmande med det förslag, som framlagts av tidigare sakkunniga och som tidigare också har tillstyrkts av statskontoret. Det var först när statsutskottet för två år sedan uttalade sig emot en sådan lika löneställning för manliga och </w:t>
      </w:r>
      <w:r>
        <w:rPr>
          <w:b/>
        </w:rPr>
        <w:t>kvinnliga¹</w:t>
      </w:r>
      <w:r>
        <w:rPr>
          <w:b w:val="0"/>
        </w:rPr>
        <w:t xml:space="preserve"> lärare, som statskontoret ändrade mening. Om man nu i likhet med vad utskottet föreslagit skulle stadga en lönegrad för de manliga lärarna och en för de </w:t>
      </w:r>
      <w:r>
        <w:rPr>
          <w:b/>
        </w:rPr>
        <w:t>kvinnliga¹</w:t>
      </w:r>
      <w:r>
        <w:rPr>
          <w:b w:val="0"/>
        </w:rPr>
        <w:t xml:space="preserve"> i dessa ämnen, så kommer det egendomliga förhållandet att inträffa, att två olika löneprinciper tillämpas inom institutet. Vi ha nämligen på sjukgymnastlinjen lärare i olika ämnen, som avlönas fullkomligt lika vare sig de äro manliga eller </w:t>
      </w:r>
      <w:r>
        <w:rPr>
          <w:b/>
        </w:rPr>
        <w:t>kvinnliga¹</w:t>
      </w:r>
      <w:r>
        <w:rPr>
          <w:b w:val="0"/>
        </w:rPr>
        <w:t xml:space="preserve">. Vi ha vidare kanslipersonalen, där inte heller någon skillnad i lön göres om innehavarna äro av manligt eller </w:t>
      </w:r>
      <w:r>
        <w:rPr>
          <w:b/>
        </w:rPr>
        <w:t>kvinnligt¹</w:t>
      </w:r>
      <w:r>
        <w:rPr>
          <w:b w:val="0"/>
        </w:rPr>
        <w:t xml:space="preserve"> kön. Men just när det gäller lärarna i gymnastik samt lek och idrott skulle enligt utskottets förslag en sådan skillnad göras. Och denna skillnad skulle till på köpet belöpa sig till hela tre lönegrader, från B 24 till B 21; en högst betydande skillnad, så</w:t>
        <w:br/>
        <w:br/>
        <w:t xml:space="preserve">Detta kan inte anses riktigt, mena de reservanter, som här antecknat sig. Vi ha den uppfattningen, att riksdagen bör handla i konsekvens med den för några år sedan beslutade behörighetslagen. Och med hänsyn till att tjänstgöringen är fullkomligt densamma, att kompetensen är fullkomligt densamma och att i övrigt inte något bärande skäl finnes för att göra denna starka skillnad i lönehänseende, ha vi inte kunnat ansluta oss till utskottets hemställan. Vi vilja också framhålla, i likhet med vad som påpekats i </w:t>
      </w:r>
      <w:r>
        <w:rPr>
          <w:b/>
        </w:rPr>
        <w:t>fröken²</w:t>
      </w:r>
      <w:r>
        <w:rPr>
          <w:b w:val="0"/>
        </w:rPr>
        <w:t xml:space="preserve"> Hesselgrens motion, att man vid reglerandet av lönerna vid olika fackhögskolor, med vilka Ju detta institut i viss mån kan jämställas, i regel gått fram efter likalönsprincipen. Detta bör man alltså med samma skäl kunna göra här.</w:t>
        <w:br/>
        <w:br/>
        <w:t xml:space="preserve">Jag får tillfälle att återkomma till övriga delar av utskottets utlåtande i samband med föredragningen av de följande punkterna, och jag skall på denna punkt, herr talman, inskränka mig till att på grund av vad jag anfört yrka bifall till den av herr Petrén och mig själv jämte två andra utskottsledamöter avgivna reservationen, vilken också innebär bifall till </w:t>
      </w:r>
      <w:r>
        <w:rPr>
          <w:b/>
        </w:rPr>
        <w:t>frökens²</w:t>
      </w:r>
      <w:r>
        <w:rPr>
          <w:b w:val="0"/>
        </w:rPr>
        <w:t xml:space="preserve"> Hesselgrens motion. Detta innebär beträffande den av utskottet föreslagna klämmen, att man 1 punkten D) 3. b) ändrar »två </w:t>
      </w:r>
      <w:r>
        <w:rPr>
          <w:b/>
        </w:rPr>
        <w:t>lärarinnor³</w:t>
      </w:r>
      <w:r>
        <w:rPr>
          <w:b w:val="0"/>
        </w:rPr>
        <w:t xml:space="preserve"> i lönegraden B 21» till »2 </w:t>
      </w:r>
      <w:r>
        <w:rPr>
          <w:b/>
        </w:rPr>
        <w:t>lärarinnor³</w:t>
      </w:r>
      <w:r>
        <w:rPr>
          <w:b w:val="0"/>
        </w:rPr>
        <w:t xml:space="preserve"> i lönegraden B 24», att man under punkten D) 5. minskar förslagsanslaget till avlöningar åt ordinarie tjänstemän till 46,200 kr., att man under punkten D) 7. ökar förslagsanslaget till icke ordinarie befattningshavare till 53,000 kronor, samt att man i punkten D) 9. ökar det allmänna ordinarie förslagsanslaget till avlöningar till 107,700 kronor.</w:t>
      </w:r>
    </w:p>
    <w:p>
      <w:pPr>
        <w:pStyle w:val="Heading2"/>
      </w:pPr>
      <w:r>
        <w:t>2. Olof Bergqvist (Högerns riksdagsgrupp, man)</w:t>
      </w:r>
    </w:p>
    <w:p>
      <w:r>
        <w:rPr>
          <w:b w:val="0"/>
        </w:rPr>
        <w:t xml:space="preserve">Herr talman! Jag skall uteslutande hålla mig till den punkt, som nu är föredragen, och tillkännagiva att jag ställer mig på den ståndpunkt, som statsutskottet intagit. Frågan om en viss skillnad i avlöning mellan </w:t>
      </w:r>
      <w:r>
        <w:rPr>
          <w:b/>
        </w:rPr>
        <w:t>kvinnliga¹</w:t>
      </w:r>
      <w:r>
        <w:rPr>
          <w:b w:val="0"/>
        </w:rPr>
        <w:t xml:space="preserve"> och manliga lärare vid gymnastiska centralinstitutet har ju flera gånger diskuterats i riksdagen, senast 1932, då riksdagen också stannade för en sådan skillnad.</w:t>
        <w:br/>
        <w:br/>
        <w:t xml:space="preserve">Jag vill här inte närmare gå in på de realskäl, som kunna finnas för en skillnad i avlöning mellan man och </w:t>
      </w:r>
      <w:r>
        <w:rPr>
          <w:b/>
        </w:rPr>
        <w:t>kvinna¹</w:t>
      </w:r>
      <w:r>
        <w:rPr>
          <w:b w:val="0"/>
        </w:rPr>
        <w:t xml:space="preserve">. Ser man till behovsprincipen, är det dock ovedersägligt, att en man har mycket större omkostnader än en </w:t>
      </w:r>
      <w:r>
        <w:rPr>
          <w:b/>
        </w:rPr>
        <w:t>kvinna¹</w:t>
      </w:r>
      <w:r>
        <w:rPr>
          <w:b w:val="0"/>
        </w:rPr>
        <w:t xml:space="preserve">. Han kan vara gift och ha </w:t>
      </w:r>
      <w:r>
        <w:rPr>
          <w:b/>
        </w:rPr>
        <w:t>hustru²</w:t>
      </w:r>
      <w:r>
        <w:rPr>
          <w:b w:val="0"/>
        </w:rPr>
        <w:t xml:space="preserve"> och barn att försörja, han kan ha fattiga föräldrar och fattiga svärföräldrar och kanske även andra släktingar att försörja. En </w:t>
      </w:r>
      <w:r>
        <w:rPr>
          <w:b/>
        </w:rPr>
        <w:t>kvinna¹</w:t>
      </w:r>
      <w:r>
        <w:rPr>
          <w:b w:val="0"/>
        </w:rPr>
        <w:t xml:space="preserve"> kan, hör man ju ofta sägas, ha en gammal </w:t>
      </w:r>
      <w:r>
        <w:rPr>
          <w:b/>
        </w:rPr>
        <w:t>mor²</w:t>
      </w:r>
      <w:r>
        <w:rPr>
          <w:b w:val="0"/>
        </w:rPr>
        <w:t xml:space="preserve"> att försörja, och det händer naturligtvis, men det är en väsentlig skillnad mellan att ha en gammal </w:t>
      </w:r>
      <w:r>
        <w:rPr>
          <w:b/>
        </w:rPr>
        <w:t>mor²</w:t>
      </w:r>
      <w:r>
        <w:rPr>
          <w:b w:val="0"/>
        </w:rPr>
        <w:t xml:space="preserve"> att försörja och att behöva draga försorg om exempelvis tre familjer. Jag skall emellertid inte i vidare mån gå in på ett resonemang om behovsprincipen, utan vill nu fästa mig vid den synpunkt, som statsutskottet här framhållit, nämligen att motionärens yrkande, vilket upptagits av reservanterna, »skulle innebära ett föregripande av statsmakternas ställningstagande i en viktig principiell fråga, vilken varit föremål för 1928 års lönekommittés prövning och framdeles måste komma under riksdagens bedömande under omständigheter, som möjliggöra en mera överskådlig och allsidig behandling av detta spörsmål».</w:t>
        <w:br/>
        <w:br/>
        <w:t xml:space="preserve">Jag tycker att endast denna sats är tillräcklig att utgöra ett motiv för avslag på </w:t>
      </w:r>
      <w:r>
        <w:rPr>
          <w:b/>
        </w:rPr>
        <w:t>fröken²</w:t>
      </w:r>
      <w:r>
        <w:rPr>
          <w:b w:val="0"/>
        </w:rPr>
        <w:t xml:space="preserve"> Hesselgrens här ifrågavarande motion. Jag tycker också att det är onödigt att i detta stycke gå in på en lång debatt, då frågan flera gånger blivit blött och stött här i riksdagen. Därför skall jag, herr talman, inskränka mig till att yrka bifall till utskottets hemställan i förevarande punkt.</w:t>
      </w:r>
    </w:p>
    <w:p>
      <w:pPr>
        <w:pStyle w:val="Heading2"/>
      </w:pPr>
      <w:r>
        <w:t>3. Kerstin Hesselgren (Folkpartiet, woman)</w:t>
      </w:r>
    </w:p>
    <w:p>
      <w:r>
        <w:rPr>
          <w:b w:val="0"/>
        </w:rPr>
        <w:t>Herr talman! Herr statsrådet insveper, synes det mig, sitt avvikande från en i sig själv rättfärdig princip i förklaringen att det är frågan om ett provisorium. Jag måste av egen och många andras erfarenhet säga, att »provisorier», som dragas ut i åratal, ha en obehaglig benägenhet att sedermera användas som prejudikat. Jag fruktar därför, att om vi nu låter det gå på denna väg och man slutligen efter något tiotal år kommer därhän, att man verkligen på allvar måste taga upp frågan om 1928 års förslag till avgörande, så kommer det att heta: »Nu ha de i tio år haft olika löner, alltså kunna de ha det i fortsättningen också!» Jag tror alltså, herr talman, att hänvisningen till att det är ett provisorium är en mycket klen tröst i den fråga det här gäller.</w:t>
        <w:br/>
        <w:br/>
        <w:t>Jag skulle vidare vilja säga till utskottet, att det är en farlig sak, när man i riksdagsarbetet får formler, som man kan krypa bakom. Avdelningens ärade ordförande förklarade, att vi ha »blött och stött frågan». Vi ha visst inte alls blött och stött denna fråga i sak, utan vi ha nöjt oss med att för varje gång förklara, att nu skjuta vi på saken för att därigenom möjliggöra »en mera allsidig behandling i ett annat och större sammanhang». Det är denna lilla formel, som statsutskottet ett par tre år å rad har krupit bakom för att inte behöva taga upp själva principfrågan till behandling.</w:t>
        <w:br/>
        <w:br/>
        <w:t xml:space="preserve">Jag måste också säga, att när man stöder sig på 1928 års förslag så stöder man sig på ett i hög grad bräckligt underlag. Man har nog velat försöka föra fram detta förslag till lönereglering men det har mött så intensivt motstånd från </w:t>
      </w:r>
      <w:r>
        <w:rPr>
          <w:b/>
        </w:rPr>
        <w:t>kvinnohåll¹</w:t>
      </w:r>
      <w:r>
        <w:rPr>
          <w:b w:val="0"/>
        </w:rPr>
        <w:t xml:space="preserve">, att man helt enkelt inte vågat sig på det. Förra gången frågan om lärarlönerna var uppe, anordnade </w:t>
      </w:r>
      <w:r>
        <w:rPr>
          <w:b/>
        </w:rPr>
        <w:t>kvinnorna¹</w:t>
      </w:r>
      <w:r>
        <w:rPr>
          <w:b w:val="0"/>
        </w:rPr>
        <w:t xml:space="preserve"> ett stort protestmöte, vid vilket flera medlemmar av den dåvarande regeringen voro närvarande. När vi gingo ifrån detta möte sade en av regeringsmedlemmarna: »Men, mina damer, ni ha attackerat redan öppna dörrar! Vad tjänar det till att slå in dörrar som redan äro inslagna?» Han menade med andra ord, att man inte kunde tänka på att lägga fram ett förslag om olika löner för manliga och </w:t>
      </w:r>
      <w:r>
        <w:rPr>
          <w:b/>
        </w:rPr>
        <w:t>kvinnliga¹</w:t>
      </w:r>
      <w:r>
        <w:rPr>
          <w:b w:val="0"/>
        </w:rPr>
        <w:t xml:space="preserve"> lärare. Och det förefaller mig, mina herrar, som om det verkligen låge någon sanning i detta. Trots att nu en mycket svår depressionstid råder har man ändå inte vågat taga upp denna sak, ehuru man ju skulle kunna anföra det utomordentliga argumentet, att man inte har råd att betala de </w:t>
      </w:r>
      <w:r>
        <w:rPr>
          <w:b/>
        </w:rPr>
        <w:t>kvinnliga¹</w:t>
      </w:r>
      <w:r>
        <w:rPr>
          <w:b w:val="0"/>
        </w:rPr>
        <w:t xml:space="preserve"> befattningshavarna lika högt som de manliga. Nu håller ju depressionstiden på att gå över, säga optimisterna — och jag hoppas att jag kan räkna mig till dem, och så småningom måste vi komma till den tidpunkt, att vi måste taga upp denna fråga. Jag vidhåller emellertid vad jag varje gång denna sak varit uppe strukit under, och vilket också av den förste ärade talaren i dag strukits under, att det inte finns något verkligt sammanhang mellan 1928 års förslag och det förslag, som här föreligger. Ty 1928 års förslag gäller löner för lärarpersonal vid skolor. Gymnastiska centralinstitutet är däremot en form av högskola. Man fordrar studentexamen eller motsvarande kompetens för inträde. Det gäller en utbildning, som är lagd ovanpå olika former av skolutbildning och som alltså har högskolas karaktär. Och när man tagit upp frågan om lönerna vid de läroanstalter, som ha högskolas karaktär, har man följt behörighetslagens idé och givit samma lön för samma arbete. Jag tycker därför att man, om man vill vara konsekvent, också här bör tillämpa principen om lika lön för lika arbete. Man fordrar precis samma utbildning, man fordrar precis samma arbetstid och man fordrar precis likartat arbete. Varför skall man då inte ha samma lön?</w:t>
        <w:br/>
        <w:br/>
        <w:t>Jo, säger andra avdelningens ärade ordförande, det skall vara olika löner därför att de manliga kunna få lov att försörja ända upp till tre eller fyra</w:t>
        <w:br/>
        <w:br/>
        <w:t>Emellertid har herr ordföranden i andra avdelningen förklarat, att han inte vill gå in på någon principdebatt. Jag skall också nöja mig med att intaga samma ståndpunkt. Jag bara stryker under det faktum, att det av honom framförda skälet inte kan vara någonting som berättigar statsutskottets lösning av den föreliggande frågan.</w:t>
        <w:br/>
        <w:br/>
        <w:t>Jag ber, herr talman, att få ansluta mig till herr Paulis yrkande.</w:t>
      </w:r>
    </w:p>
    <w:p>
      <w:pPr>
        <w:pStyle w:val="Heading2"/>
      </w:pPr>
      <w:r>
        <w:t>4. Olof Olsson (Socialdemokraterna, man)</w:t>
      </w:r>
    </w:p>
    <w:p>
      <w:r>
        <w:rPr>
          <w:b w:val="0"/>
        </w:rPr>
        <w:t xml:space="preserve">Jag har, herr talman, begärt ordet endast för att i det rent principiella få instämma med </w:t>
      </w:r>
      <w:r>
        <w:rPr>
          <w:b/>
        </w:rPr>
        <w:t>fröken²</w:t>
      </w:r>
      <w:r>
        <w:rPr>
          <w:b w:val="0"/>
        </w:rPr>
        <w:t xml:space="preserve"> Hesselgren.</w:t>
        <w:br/>
        <w:br/>
        <w:t>I fråga om inträdesfordringarna till gymnastiska centralinstitutet innebar Kungl. Maj:ts förslag i huvudsak, att inträde å centralinstitutets båda linjer skulle tillkomma den, som avlagt realexamen, förvärvat normalskolekompetens, avlagt studenteller folkskollärarexamen eller förvärvat behörighet till ämneslärarinnebefattning vid allmänt läroverk, i samtliga fall med närmare angivna</w:t>
        <w:br/>
        <w:br/>
        <w:t>a) att hava avlagt godkänd studentexamen samt att i denna examen eller i sedermera undergången fyllnadsprövning hava erhållit minst betyget godkänd i ämnena fysik, kemi och biologi med hälsolära efter fordringarna för studentexamen eller</w:t>
        <w:br/>
        <w:br/>
        <w:t>»I detta hänseende har direktionen såsom alternativ A föreslagit, att fyra av berörda lärare skulle av Kungl. Maj:t förordnas för kortare tid, under det att de fyra återstående skulle tillsättas såsom ordinarie befattningshavare.</w:t>
        <w:br/>
        <w:br/>
        <w:t>Detta förslag har tillstyrkts av skolöverstyrelsen under förutsättning att bestämmelse utfärdades därom att ordinarie befattning som gymnastiklärare vid statlig läroanstalt, vars innehavare erhölle här avsett förordnande som lärare vid gymnastiska centralinstitutet, skulle i vederbörlig ordning återbesättas med ordinarie innehavare, vilken skulle vara underkastad skyldighet att mottaga förflyttning till annan ordinarie gymnastiklärarbefattning, då den föregående innehavarens förordnande vid centralinstitutet upphörde. HLärarkollegiet och svenska gymnastiklärarsällskapet hava däremot tillstyrkt direktionens såsom alternativ B betecknade förslag, att samtliga här ifrågavarande lärare skulle anställas på ordinarie stat, och till detta förslag har departementschefen givit sin anslutning. I motionen I:314 har, i överensstämmelse med alternativ A, hemställts att riksdagen måtte utverka, att fyra av här ifrågavarande åtta lärare skola av Kungl. Maj:t förordnas för fyra år i sänder, vilket förordnande, om så prövades lämpligt, skulle för en och samma person kunna två gånger förnyas för två år i sänder.</w:t>
        <w:br/>
        <w:br/>
        <w:t>Utskottet har funnit starka skäl tala för ett bifall till det av direktionen såsom alternativ A framförda och i motionen I: 314 upptagna förslaget. Fördelarna för gymnastiska centralinstitutet av den föreslagna anordningen finner utskottet avgjort överväga de befarade olägenheterna för de skolor, varifrån lärarna sannolikt mestadels skulle tagas. Genom ett bifall till vad skolöverstyrelsen föreslagit rörande formen för tillsättande av vikarier för här ifrågavarande lärare synas därjämte de flesta av nyssberörda olägenheter kunna undvikas. Med hänsyn härtill anser sig utskottet böra tillstyrka vad i motionen I:314 i här förevarande avseende föreslagits ävensom hemställa, att riksdagen måtte medgiva, att ordinarie gymnastiklärarbefattning vid statlig läroanstalt, vars innehavare erhåller här avsett förordnande som lärare vid gymnastiska centralinstitutet, skall i vederbörlig ordning återbesättas med ordinarie innehavare, vilken skall vara underkastad skyldighet att mottaga förflyttning till annan ordinarie gymnastiklärarbefattning, då den föregående innehavarens förordnande vid centralinstitutet upphör.»</w:t>
        <w:br/>
        <w:br/>
        <w:t>»De skäl, som av departementschefen anförts till förmån för den av honom intagna ståndpunkten, hava synts utskottet övertygande.</w:t>
        <w:br/>
        <w:br/>
        <w:t>De fördelar, som, enligt vad i motionen I:314 framhållits, förmenas skola vinnas genom det där föreslagna förfaringssättet, få, såsom departementschefen framhållit, icke överskattas. Förslaget måste för de läroverk, vilkas lärare erhålla de ifrågasatta förordnandena, medföra betydande svårigheter även om den av skolöverstyrelsen förordade anordningen införes, och jämväl för gymnastiska centralinstitutet i dess egenskap av lärarutbildningsanstalt måste det relativt täta ombytet av lärare komma att medföra olägenheter. Med hänsyn härtill finner sig utskottet böra, med avstyrkande av vad i motionen I: 314 i denna del hemställts, tillstyrka Kungl. Maj:ts förslag.»</w:t>
      </w:r>
    </w:p>
    <w:p>
      <w:pPr>
        <w:pStyle w:val="Heading2"/>
      </w:pPr>
      <w:r>
        <w:t>5. Ivan Pauli (Socialdemokraterna, man)</w:t>
      </w:r>
    </w:p>
    <w:p>
      <w:r>
        <w:rPr>
          <w:b w:val="0"/>
        </w:rPr>
        <w:t>Herr talman! Till denna punkt är knuten en reservation beträffande inträdesfordringarna, som fått en synnerligen manstark anslutning. Inte mindre än elva ledamöter av statsutskottet ha undertecknat densamma, Sör man med en viss rätt kan säga, att statsutskottet står delat på denna punkt.</w:t>
        <w:br/>
        <w:br/>
        <w:t>Frågan om inträdesfordringarna är en gammal tvistefråga, men vad det nu framför allt är anledning att lägga märke till är, att frågan numera föreligger i ett helt annat läge än förut. När kammaren förra gången diskuterade inträdesfordringarna till gymnastiska centralinstitutet, rörde det sig ännu om ett institut med en i varje fall delvis enhetlig utbildning. Då fanns inte, som i det nu föreliggande förslaget, två helt skilda linjer, till vilka skilda inträdesfordringar föreslås. Linjerna voro den gången på en viss sträcka gemensamma, och det är detta vi böra uppmärksamma.</w:t>
        <w:br/>
        <w:br/>
        <w:t xml:space="preserve">Här har nu statsutskottet för sjukgymnastlinjen enats om att begära en lägre kompetens för inträde än förut. Man har inom utskottet i dess helhet varit ense om, att för utbildningen till sjukgymnaster behöver man inte begära studentexamen, utan att det fullkomligt kan räcka med normalskolekompetens, det vill säga högre </w:t>
      </w:r>
      <w:r>
        <w:rPr>
          <w:b/>
        </w:rPr>
        <w:t>flickskola²</w:t>
      </w:r>
      <w:r>
        <w:rPr>
          <w:b w:val="0"/>
        </w:rPr>
        <w:t>, eller realexamen, och man har inte krävt några påbyggnader på denna skolutbildning för ifrågavarande linje.</w:t>
        <w:br/>
        <w:br/>
        <w:t xml:space="preserve">Det är alltså endast när det gäller de blivande gymnastiklärarna, som man inom utskottet varit av olika meningar. Där ha reservanterna ställt sig på den ståndpunkten, att man inte borde sänka den nuvarande inträdeskompetensen. Sedan lång tid tillbaka har för elever vid gymnastiska centralinstitutet krävts studentexamen, försåvitt det gällt manliga elever, medan det för de </w:t>
      </w:r>
      <w:r>
        <w:rPr>
          <w:b/>
        </w:rPr>
        <w:t>kvinnliga¹</w:t>
      </w:r>
      <w:r>
        <w:rPr>
          <w:b w:val="0"/>
        </w:rPr>
        <w:t xml:space="preserve"> eleverna stadgats normalskolekompetens. Man kan ju fråga sig varför denna skillnad har gjorts. Det är mycket lätt att besvara den frågan. På den tiden, då dessa fordringar fastställdes, fanns det här i Sverige knappast några </w:t>
      </w:r>
      <w:r>
        <w:rPr>
          <w:b/>
        </w:rPr>
        <w:t>kvinnliga¹</w:t>
      </w:r>
      <w:r>
        <w:rPr>
          <w:b w:val="0"/>
        </w:rPr>
        <w:t xml:space="preserve"> studenter alls. Den högsta skolutbildning, som den </w:t>
      </w:r>
      <w:r>
        <w:rPr>
          <w:b/>
        </w:rPr>
        <w:t>kvinnliga¹</w:t>
      </w:r>
      <w:r>
        <w:rPr>
          <w:b w:val="0"/>
        </w:rPr>
        <w:t xml:space="preserve"> ungdomen på den tiden i regel hade, var den högre </w:t>
      </w:r>
      <w:r>
        <w:rPr>
          <w:b/>
        </w:rPr>
        <w:t>flickskolan²</w:t>
      </w:r>
      <w:r>
        <w:rPr>
          <w:b w:val="0"/>
        </w:rPr>
        <w:t xml:space="preserve">, medförande normalskolekompetens. När man alltså fastställde denna såsom inträdesfordran, var detta inte ett medgivande, att man för </w:t>
      </w:r>
      <w:r>
        <w:rPr>
          <w:b/>
        </w:rPr>
        <w:t>kvinnor¹</w:t>
      </w:r>
      <w:r>
        <w:rPr>
          <w:b w:val="0"/>
        </w:rPr>
        <w:t xml:space="preserve"> ansåg det räcka med denna lägre utbildning. Det var helt enkelt så, att man rättade sig efter det då rådande faktiska läget. Numera är det faktiska läget ett helt annat. Det finns, som vi alla veta, ingalunda någon brist på </w:t>
      </w:r>
      <w:r>
        <w:rPr>
          <w:b/>
        </w:rPr>
        <w:t>kvinnliga¹</w:t>
      </w:r>
      <w:r>
        <w:rPr>
          <w:b w:val="0"/>
        </w:rPr>
        <w:t xml:space="preserve"> studenter i detta land, och det finns därför inte längre någon anledning att göra en skillnad mellan manliga och </w:t>
      </w:r>
      <w:r>
        <w:rPr>
          <w:b/>
        </w:rPr>
        <w:t>kvinnliga¹</w:t>
      </w:r>
      <w:r>
        <w:rPr>
          <w:b w:val="0"/>
        </w:rPr>
        <w:t xml:space="preserve"> inträdessökande. Vi reservanter ha förmenat, att man bör utjämna skillnaden genom att för båda könen begära samma inträdesfordringar, nämligen studentexamen. Utskottet i övrigt har också velat utjämna denna skillnad, men har i stället gått den vägen, att man sänkt fordringarna från studentexamen ner till realexamen eller normalskolekompetens, i båda fallen med vissa fyllnadsprövningar. Man har motiverat detta med att en sådan lägre examen plus studentbetyg i fysik, kemi och biologi med hälsolära är vad som strängt taget behövs för att kunna följa undervisningen vid institutet; och om man uppställer detta såsom ett minimikrav, så kan man möjligtvis säga, att det kan ha något skäl för sig. Detta har också av direktionen medgivits. Jag vill dock fästa uppmärksamheten på, att det naturligtvis är till stort värde för undervisningen vid institutet, om eleverna fortfarande ha den större språkkunskap på olika områden, som de för närvarande ha på grund av avlagd studentexamen. Vidare måste man säga sig, att det är en ganska egendomlig form för utbildning, som skulle krävas, om man fordrar, att vederbörande först skall taga realexamen och sedan avlägga studentexamen i tre ämnen. Det är ganska svårt att tänka sig ett verkligt betryggande sätt för anordnande av en sådan fyllnadsprövning, och det torde inte bli lätt att få till stånd fullt lämpliga former härför. Att vederbörande bara skulle gå upp till en lärare i ämnet vid ett gymnasium och efter prövning hos honom få betyg, kan knappast anses vara en metod, som innebär tillräcklig garanti, utan saken finge väl ordnas så, att prövningen skedde i samband med studentexamen under vederbörlig censur.</w:t>
        <w:br/>
        <w:br/>
        <w:t>Man kan emellertid inte dölja för sig, att med den starka tillströmning till studentexamen, som för närvarande råder, skulle de inträdessökande till gymnastiska centralinstitutets gymnastiklärarlinje komma att i så övervägande antal utgöras av studenter och väl meriterade studenter, att man kan utgå ifrån, att det kommer att bli mycket få undantagsfall, då folk med lägre kompetens vinner inträde. Naturligtvis är det tänkbart, att så skulle ske en och annan gång, men för flertalet av dem, som låta narra sig av dessa inträdesfordringar och kanske offra ganska lång tid efter sin realexamen under arbete för att taga dessa »kompletteringsbetyg», för flertalet av dessa, säger Jag, blir säkert utsikten att komma in vid gymnastiska centralinstitutet en ren chimär. De komma inte in — och så stå de där med sin för andra banor oanvändbara kompetens. Man kan ju säga, att det kan aldrig skada dem, att ha lärt sig litet mera i de naturvetenskapliga ämnena, det kunna de ha nytta av i livet. Det är naturligtvis riktigt, men det finns dock ingen annan bana, vars portar öppnas direkt på en så trasig examenskompetens som denna. Och då man kan utgå från att i det stora flertalet fall det blir studenter, som släppas in, tycker jag inte, att det är någon större idé för riksdagen att här gå och krångla med sådana invecklade ändringar i inträdesfordringarna. Vill man bereda möjlighet till inträde vid institutet för gymnastiskt välmeriterade personer, som inte avlagt studentexamen, så bör det synnerligen lätt kunna ske dispensvägen. Och under den tid, jag själv har äran att vara med i centralinstitutets direktion, skall jag då inte på något sätt motsätta mig tillämpningen av en mycket vidhjärtad politik i det fallet. Därmed vunne man ju också det praktiska syftet.</w:t>
        <w:br/>
        <w:br/>
        <w:t>Under sådana förhållanden som dessa har jag inte kunnat finna, att några skäl tala för att man i fråga om gymnastiklärarlinjen inför denna sänkning av förut gällande inträdesfordringar för manliga elever. Jag tror, att de praktiska fördelar, man väntar sig härav, bli imaginära, under det att de praktiska nackdelar, som vidlåda detta förslag, ligga ganska öppet i dagen.</w:t>
        <w:br/>
        <w:br/>
        <w:t>Jag ber på dessa grunder, herr talman, att få yrka bifall till den reservation beträffande inträdesfordringarna, som vid punkt D är avgiven av herr Hamrin med flera.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743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