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753</w:t>
      </w:r>
    </w:p>
    <w:p>
      <w:r>
        <w:rPr>
          <w:b/>
        </w:rPr>
        <w:t xml:space="preserve">Datum: </w:t>
      </w:r>
      <w:r>
        <w:t>1935-03-27</w:t>
      </w:r>
    </w:p>
    <w:p>
      <w:r>
        <w:rPr>
          <w:b/>
        </w:rPr>
        <w:t xml:space="preserve">Kammare: </w:t>
      </w:r>
      <w:r>
        <w:t>Första kammaren</w:t>
      </w:r>
    </w:p>
    <w:p>
      <w:r>
        <w:rPr>
          <w:b/>
        </w:rPr>
        <w:t xml:space="preserve">Antal yttranden: </w:t>
      </w:r>
      <w:r>
        <w:t>3</w:t>
      </w:r>
    </w:p>
    <w:p>
      <w:r>
        <w:rPr>
          <w:b/>
        </w:rPr>
        <w:t xml:space="preserve">Källa: </w:t>
      </w:r>
      <w:r>
        <w:t>Tal om Kvinnor: Annotated Corpus, byggd på The Swedish Parliament Corpus (Yrjänäinen m.fl. 2024).</w:t>
      </w:r>
    </w:p>
    <w:p>
      <w:r>
        <w:rPr>
          <w:b/>
        </w:rPr>
        <w:t xml:space="preserve">Projekt: </w:t>
      </w:r>
      <w:hyperlink r:id="rId9">
        <w:r>
          <w:rPr>
            <w:rStyle w:val="Hyperlink"/>
          </w:rPr>
          <w:t xml:space="preserve">https://github.com/DigitalHistory-Lund/ToK-Preparer</w:t>
        </w:r>
      </w:hyperlink>
    </w:p>
    <w:p>
      <w:r>
        <w:rPr>
          <w:b/>
        </w:rPr>
        <w:t xml:space="preserve">DOI: </w:t>
      </w:r>
      <w:hyperlink r:id="rId10">
        <w:r>
          <w:rPr>
            <w:rStyle w:val="Hyperlink"/>
          </w:rPr>
          <w:t xml:space="preserve">https://doi.org/10.5281/zenodo.18211787</w:t>
        </w:r>
      </w:hyperlink>
    </w:p>
    <w:p>
      <w:r>
        <w:rPr>
          <w:b/>
        </w:rPr>
        <w:t xml:space="preserve">Version: </w:t>
      </w:r>
      <w:r>
        <w:t>2026.10.14</w:t>
      </w:r>
    </w:p>
    <w:p>
      <w:r>
        <w:rPr>
          <w:i/>
        </w:rPr>
        <w:t>Markerade ord: ¹ kvinna-ord, ² släktskaps- och tilltalsord, ³ yrkestitlar.</w:t>
      </w:r>
    </w:p>
    <w:p>
      <w:pPr>
        <w:pStyle w:val="Heading2"/>
      </w:pPr>
      <w:r>
        <w:t>1. Olof Bergqvist (Högerns riksdagsgrupp, man)</w:t>
      </w:r>
    </w:p>
    <w:p>
      <w:r>
        <w:rPr>
          <w:b w:val="0"/>
        </w:rPr>
        <w:t>Herr talman! Jag anser mig böra yttra några få ord till förmån för de två motioner, som äro väckta på denna punkt. Den ena är avgiven av herr Bengtsson i Norup i andra kammaren och den andra av herr Wallerius m. fl. också i andra kammaren. Det gäller ett par mindre anslag för beredande av undervisning åt svenska barn i Kina och i Sydindien.</w:t>
        <w:br/>
        <w:br/>
        <w:t xml:space="preserve">Vad nu Kina angår, har ju förut under åren 1924—1927 ett anslag givits av riksdagen för undervisning av svenska barn där. Detta anslag utgick med 8,000 kronor och tillkom på grund av en motion av herr Bengtsson. På grund av oroligheter i Kina måste skolan sedermera nedläggas och har först nu kunnat återupptagas, fastän i mindre omfattning. Därför har herr Bengtsson nu begärt, att staten skall bidraga med ett belopp av 2,000 kronor för upprätthållande av denna skola, som skall skötas av en svensk </w:t>
      </w:r>
      <w:r>
        <w:rPr>
          <w:b/>
        </w:rPr>
        <w:t>lärarinna³</w:t>
      </w:r>
      <w:r>
        <w:rPr>
          <w:b w:val="0"/>
        </w:rPr>
        <w:t>.</w:t>
        <w:br/>
        <w:br/>
        <w:t>Vad åter Sydindien angår, har där förut icke utgått något statsbidrag för svenska barns undervisning. Det finns emellertid där ganska mycket svenskar — missionärer och ingenjörer med familjer. Dessa svenska familjer ha svårigheter med sina barns undervisning. De måste nu skicka hem barnen</w:t>
        <w:br/>
        <w:br/>
        <w:t>Det är emellertid inte troligt, att det finns någon utsikt att vinna bifall till de här motionerna, men jag har velat fästa uppmärksamheten på att dessa svenskar i Asien i likhet med våra utlandssvenskar i Europa borde komma i åtanke till understöd för sina barns undervisning, och jag hoppas, att om framställningar i detta avseende göras till Kungl. Maj:t ett annat år, Kungl. Maj:t då måtte benäget upptaga dessa framställningar och framlägga dem för riksdagen.</w:t>
        <w:br/>
        <w:br/>
        <w:t>Jag skall i varje fall be att få yrka bifall till motionerna.</w:t>
      </w:r>
    </w:p>
    <w:p>
      <w:pPr>
        <w:pStyle w:val="Heading2"/>
      </w:pPr>
      <w:r>
        <w:t>2. Oscar Olsson (Socialdemokraterna, man)</w:t>
      </w:r>
    </w:p>
    <w:p>
      <w:r>
        <w:rPr>
          <w:b w:val="0"/>
        </w:rPr>
        <w:t>Det experiment, som herr Bergqvist här vill leda in kammaren på, har nog litet betänkligare ekonomiska konsekvenser än det experiment beträffande latin och grekiska, som jag talade emot.</w:t>
        <w:br/>
        <w:br/>
        <w:t>Beträffande själva sakfrågan tycks den ha ganska goda skäl för sig, och när man tittar på summorna, se de ju inte avskräckande ut. Det är ju knappast 5,000 kronor, det rör sig om. Men vad gäller det nu egentligen, om man skall se denna fråga ur den allra ringaste statsutskottssynpunkt? Jo, att riksdagen skall gå in för helt nya anslag för undervisning av svenska barn i utlandet. Vad är det för svenska barn i utlandet, som nu få folkskoleundervisning? Jo, det är barn i sådana europeiska storstäder, där det finns ganska stora svenska kolonier, och dessa städer äro Berlin, London, Hamburg och Paris. Det är bara på dessa platser, som sådan svensk folkskoleundervisning lämnas. I år ha några motionärer hemställt om anslag till den svenska folkskola, som finns i Reval. Kungl. Maj:t har inte begärt något bidrag till denna skola, och statsutskottet har inte kunnat gå med på att bevilja något anslag — inte ens herr Bergqvist — trots att ett beviljande av sådant anslag principiellt skulle stå i överensstämmelse med den ståndpunkt, som riksdagen redan intagit i fråga om undervisning av svenska barn i utlandet.</w:t>
        <w:br/>
        <w:br/>
        <w:t>Finns det någon, som är beredd att säga, var det skall sluta, om vi utan någon som helst utredning bestämma oss för att upprätta svenska folkskolor vid missionsanstalter där borta i Kina? Tro inte herrarna, att man med precis samma berättigande kommer att begära anslag på bra många håll runt om ute i världen, där det finns en klick svenskar, som ha barn? Jag tänker nu inte bara på svenskar, som arbeta i missionens tjänst. Vi ha ju även svenska kolonier i Brasilien och på andra ställen i Sydamerika, och dessa svenskar där ute, som kunna anses vara så att säga representanter för svenskt arbete, skola väl kunna anses ha alldeles samma befogenhet att komma med en begäran om anslag för sina barns undervisning.</w:t>
        <w:br/>
        <w:br/>
        <w:t>Jag vill inte taga upp till någon debatt de sakliga synpunkterna rörande Just de platser, som herr Bergqvist talade om, men jag hoppas, att kammaren, vilket herr Bergqvist för övrigt tycktes finna helt naturligt, icke, innan saken ens på något sätt är prövad av Kungl. Maj:t, ger sitt bifall till en sådan här framställning.</w:t>
        <w:br/>
        <w:br/>
        <w:t>Jag yrkar alltså, herr talman, bifall till utskottets hemställan.</w:t>
      </w:r>
    </w:p>
    <w:p>
      <w:pPr>
        <w:pStyle w:val="Heading2"/>
      </w:pPr>
      <w:r>
        <w:t>3. David Norman (Socialdemokraterna, man)</w:t>
      </w:r>
    </w:p>
    <w:p>
      <w:r>
        <w:rPr>
          <w:b w:val="0"/>
        </w:rPr>
        <w:t>Herr talman! Den motion, som utskottet under punkt b) i sin hemställan yrkat avslag på, syftar till att underlätta möjligheten för arbetslösa småskollärarinnor att komplettera sin utbildning för att kunna vinna anställning inom skolorganisationen närliggande arbetsområden, där deras egentliga utbildning och erfarenhet kan utnyttjas och fylla ett behov.</w:t>
        <w:br/>
        <w:br/>
        <w:t xml:space="preserve">Så, som förhållandena utvecklat sig, är läget högst allvarligt för ett stort antal av dessa unga </w:t>
      </w:r>
      <w:r>
        <w:rPr>
          <w:b/>
        </w:rPr>
        <w:t>kvinnor¹</w:t>
      </w:r>
      <w:r>
        <w:rPr>
          <w:b w:val="0"/>
        </w:rPr>
        <w:t xml:space="preserve">, som iklätt sig stora kostnader för sin utbildning men sakna varje möjlighet att erhålla anställning inom skolans arbetsområde. Cirka 1,000 utexaminerade småskollärarinnor äro för närvarande arbetslösa, och för det stora flertalet torde det vara fullständigt omöjligt att få plats som </w:t>
      </w:r>
      <w:r>
        <w:rPr>
          <w:b/>
        </w:rPr>
        <w:t>lärarinnor³</w:t>
      </w:r>
      <w:r>
        <w:rPr>
          <w:b w:val="0"/>
        </w:rPr>
        <w:t>. Hur hopplös situationen för dem är i detta hänseende visar skol-</w:t>
        <w:br/>
        <w:br/>
        <w:t>Redan rent humanitära skäl tala starkt för att detta avsnitt av det stora arbetslöshetsproblemet vinner beaktande. Då härtill kommer, att kostnaderna för denna utbildning, som för närvarande ej kan utnyttjas inom det avsedda arbetsområdet, inte endast drabbat de enskilda individerna utan även det allmänna, föreligger enligt min mening ett ytterligare skäl för statsmakterna att ägna detta problem all uppmärksamhet. I den mån denna inom skolans område överflödiga arbetskraft kan användas inom närliggande arbetsfält med utnyttjande av den föregående utbildningen och erfarenheten, minskas eller bortfaller den förlust för det allmänna, som ligger däri, att av stat eller landsting bekostad utbildning ej kommer till avsedd nytta.</w:t>
        <w:br/>
        <w:br/>
        <w:t xml:space="preserve">I frågan intresserade lärarorganisationer nedlägga för närvarande ett beaktansvärt arbete för att underlätta övergången till annat område för dessa arbetslösa </w:t>
      </w:r>
      <w:r>
        <w:rPr>
          <w:b/>
        </w:rPr>
        <w:t>lärarinnor³</w:t>
      </w:r>
      <w:r>
        <w:rPr>
          <w:b w:val="0"/>
        </w:rPr>
        <w:t>. Man syftar till att genom kompletterande specialutbildning öppna möjligheter för dem att vinna anställning vid barnhem, skolhem, barnkrubbor, arbetsstugor, daghem och liknande anstalter. Då man ej annat än i undantagsfall torde kunna räkna med att vederbörande själva mäkta ikläda sig kostnaderna för denna ytterligare utbildning, fordras statens medverkan i form av anslag.</w:t>
        <w:br/>
        <w:br/>
        <w:t>Statsmakterna hava också beaktat detta. I motionen åberopas den utbildningskurs för småskollärarinnor vid Maria husmodersskola, som under namn av »det praktiska året» innevarande läsår anordnats i här omnämnt syfte. Denna kurs har kunnat hållas avgiftsfri för eleverna därigenom att Kungl. Maj:t från det under femte huvudtiteln för innevarande budgetår uppförda extra reservationsanslaget till särskilda åtgärder i anledning av ungdomsarbetslösheten beviljat denna statsunderstödda enskilda anstalt för yrkesutbildning ett extra understöd för detta ändamål.</w:t>
        <w:br/>
        <w:br/>
        <w:t>För att bereda möjlighet för liknande anslag även under nästa budgetår begäres i motionen, att reservationsanslaget till understöd åt enskilda anstalter för yrkesundervisning måtte höjas med 35,000 kronor. Statsutskottet motiverar sitt avslagsyrkande därmed, att det äskade anslaget knappast avser ett skoländamål i egentlig mening. De ifrågasatta åtgärderna synas snarare, säger utskottet, vara av den art, att de för desamma erforderliga medlen böra, såsom jämväl under innevarande budgetår skett, bestridas av till motverkande av arbetslösheten tillgängliga medel.</w:t>
        <w:br/>
        <w:br/>
        <w:t>Jag kan ej dela utskottets uppfattning i detta hänseende. Kammaren har nyss på utskottets förslag beslutat, att kostnaden för de provisoriska utvidgningar av den ordinarie skolorganisationen, som kunna vara behövliga i syfte att bereda arbetslös ungdom utbildning, skall överflyttas från femte till åttonde huvudtiteln, evad det gäller folkhögskolor och kommunala anstalter för yrkesundervisning. Jag förstår inte, hur utskottet kan finna, att dessa kostnader äro skoländamål i egentlig mening, om utbildningen äger rum vid dessa anstalter, men få en helt annan karaktär, när den sker vid de enskilda statsunderstödda anstalterna med samma syfte.</w:t>
        <w:br/>
        <w:br/>
        <w:t>Går jag till de sakkunniga beträffande ungdomsarbetslösheten, så räknade de upp, när de i fjol föreslogo åtgärder till utbildning för arbetslös ungdom inom den ordinarie skolorganisationens ram: folkhögoch lantmannaskolor samt kommunala och enskilda anstalter för yrkesundervisning. Principiellt ansågo de, att enär anslagen till samtliga dessa undervisningsanstalter syftade till</w:t>
        <w:br/>
        <w:br/>
        <w:t>Socialministern förklarade sig vara principiellt av samma uppfattning och yttrade, att framdeles borde ökade möjligheter beredas inom undervisningsväsendet i all den utsträckning, som med hänsyn till faktiska förhållanden kunde anses erforderlig.</w:t>
        <w:br/>
        <w:br/>
        <w:t>Det är denna principiella uppfattning om anslagets natur, som i årets statsverksproposition kommit till uttryck, evad det gäller anslagen till folkhögoch lantmannaskolor samt kommunala anstalter för yrkesundervisning. Jag kan för min del ej finna någon som helst principiell skillnad, om utbildningen i särskilda fall skulle ske vid en enskild statsunderstödd anstalt.</w:t>
        <w:br/>
        <w:br/>
        <w:t>Det väsentliga synes mig vara ändamålet: att bereda arbetslös ungdom ökade utbildningsmöjligheter. 9Socialministern framhöll i fjol såsom särdeles betydelsefullt, att ifrågavarande åtgärder finge en bestämd inriktning på yrkesutbildningen. De uppslag, som min motion åsyftat förverkliga, uppfylla i alldeles särskild grad detta önskemål. Jag måste därför på det högsta beklaga, att statsutskottet ej ingått på någon realprövning av motionen 1 detta sammanhang. TI utskottets yttrande tror jag mig dock kunna utläsa en allmän välvilja för de önskemål, jag i motionen gjort mig till tolk för. För själva saken är det ju likgiltigt, om anslag utgår på femte eller åttonde huvudtiteln.</w:t>
        <w:br/>
        <w:br/>
        <w:t>Skulle kammaren anse det förra lämpligare, så är jag villig att återkomma till detta ärende i anslutning till den kommande arbetslöshetspropositionen. Jag har därför, herr talman, för närvarande inget yrkande.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DigitalHistory-Lund/ToK-Preparer" TargetMode="External"/><Relationship Id="rId10" Type="http://schemas.openxmlformats.org/officeDocument/2006/relationships/hyperlink" Target="https://doi.org/10.5281/zenodo.1821178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753</dc:title>
  <dc:subject>2026.10.14 (https://doi.org/10.5281/zenodo.18211787)</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version>2026.10.14</cp:version>
</cp:coreProperties>
</file>