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2034</w:t>
      </w:r>
    </w:p>
    <w:p>
      <w:r>
        <w:rPr>
          <w:b/>
        </w:rPr>
        <w:t xml:space="preserve">Datum: </w:t>
      </w:r>
      <w:r>
        <w:t>1935-05-09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Robert Jansson (Socialdemokraterna, man)</w:t>
      </w:r>
    </w:p>
    <w:p>
      <w:r>
        <w:rPr>
          <w:b w:val="0"/>
        </w:rPr>
        <w:t xml:space="preserve">Herr talman! </w:t>
      </w:r>
      <w:r>
        <w:rPr>
          <w:b/>
        </w:rPr>
        <w:t>Fröken²</w:t>
      </w:r>
      <w:r>
        <w:rPr>
          <w:b w:val="0"/>
        </w:rPr>
        <w:t xml:space="preserve"> Wellin talade om de många motioner om beviljande av pensioner och understöd, som bankoutskottet jämt och ständigt har att behandla. Jag ger </w:t>
      </w:r>
      <w:r>
        <w:rPr>
          <w:b/>
        </w:rPr>
        <w:t>fröken²</w:t>
      </w:r>
      <w:r>
        <w:rPr>
          <w:b w:val="0"/>
        </w:rPr>
        <w:t xml:space="preserve"> Wellin rätt i att det är rätt så ledsamt och att man känner sig lätt obehagligt berörd. om man måste avstyrka en framställning, som gjorts från fattigt folk, som tydligt och klart kunna påvisa, att de behöva en slant till hjälp för att uppehålla livet. Det är ganska tråkigt att behandla sådana där saker. Därför tror jag, att man icke skall döma varandra så hårt, om man råkar ha litet olika uppfattning.</w:t>
        <w:br/>
        <w:br/>
        <w:t>Jag trodde icke, att finansministern skulle gå så hårt fram mot statsutskottet i detta fall. Enligt min mening har statsutskottet försökt att lägga sakliga synpunkter på frågan. Utskottet har undersökt, om det var möjligt att få en riktlinje att gå efter. Utskottet har ansett, att kammaradvokat-</w:t>
        <w:br/>
        <w:br/>
        <w:t>Den fråga, det här gäller, är av mycket ömtålig art. Om vi följa Kungl. Maj:ts förslag, är gärdet uppgivet. Då går det som i bankoutskottet: Det finns ingen möjlighet att veta vad man skall rätta sig efter. Den som icke känner till de personer, det är fråga om, måste rätta sig efter vad myndigheterna säga. Jag vill i förbigående säga, att jag icke haft tillfälle taga del i den förberedande granskningen av denna punkt, och jag kommer därför icke så noga ihåg, hur myndigheterna ställt sig, men jag vet, att det i sådana, här fall inträffat, att vederbörande länsstyrelse ställt sig avvisande. Jag kan dock icke säga, om så skett även beträffande denna punkt.</w:t>
        <w:br/>
        <w:br/>
        <w:t>Det är vad vi ansett, att man måste taga all möjlig hänsyn till. Framför allt bör man icke ge sig ut på lösan sand. Jag förstår mycket väl, att herr Lithander passade på tillfället, ty för honom är det en glädje, om han tror sig kunna påvisa, att det var alldeles oriktigt att beröva kusiner arvsrätt. Jag tror dock icke, att man kan taga detta som motiv för vilket förslag som helst.</w:t>
        <w:br/>
        <w:br/>
        <w:t>Sedan var departementschefen litet stygg mot statsutskottet, då han sade att vi icke voro så sparsamma som Kungl. Maj:t. Det är sant, men vi ansågo det lämpligare att ge en livränta än ett kapital på en gång, detta emedan vi ha den erfarenheten, att när riksdagen beviljar ett kapital på en gång, försvinner detta kapital i de allra flesta fall — Jag vågar säga i nio fall av tio — genast, och sedan är den som fått det lika utan. En livränta däremot får vederbörande för varje år, och det är detta, som varit motivet, när vi gått ifrån Kungl. Maj:ts förslag, och det bör ju icke vare sig departementschefen eller utskottet ta så hårt, tycker jag.</w:t>
        <w:br/>
        <w:br/>
        <w:t>Jag säger för min del, att inte skola ni tro, att statsutskottet anser sig desavuerat till den grad, att utskottet skulle gräma sig över, om riksdagen skulle visa ett ömmare hjärta i detta fall än utskottet. Men vad vi vilja är, att i så fall skall också riksdagen vara beredd att följa dessa ömmare känslor även vid andra tillfällen, så att behovsprövningsprincipen verkligen lägges till grund, då man skall besluta i dylika angelägenheter. Så länge det emellertid icke föreligger några uttalanden om, att behovsprövning skall äga rum, kan Jag icke finna, att vi kunna gå in för densamma på sätt som här nu föreslås.</w:t>
        <w:br/>
        <w:br/>
        <w:t>Detta var några synpunkter, som jag i detta sammanhang velat framhålla, och för min del finner jag som sagt ingen anledning frångå utskottets förslag. Det förhåller sig dock så, som här tidigare nämnts, att en del av de personer, varom här är fråga, redan ha sin fulla försörjning utav det allmänna.</w:t>
        <w:br/>
        <w:br/>
        <w:t>Jag ber därför, herr talman, att få yrka bifall till utskottets förslag.</w:t>
      </w:r>
    </w:p>
    <w:p>
      <w:pPr>
        <w:pStyle w:val="Heading2"/>
      </w:pPr>
      <w:r>
        <w:t>2. Ernst Wigforss (Socialdemokraterna, man)</w:t>
      </w:r>
    </w:p>
    <w:p>
      <w:r>
        <w:rPr>
          <w:b w:val="0"/>
        </w:rPr>
        <w:t>Herr talman! Jag hoppas att diskussionen icke skall taga den vändningen, att vi nu rulla upp hela frågan, huruvida det var riktigt av riksdagen att besluta, att kusiner icke skulle få ärva. När vi nu emellertid med gällande lag dock ha en möjlighet öppen för Kungl. Maj:t och riksdagen att i ömmande fall låta kusiner få den del av arvet, som enligt den gamla lagen skulle ha tillerkänts dem, förefaller det mig, som om man icke kan göra, som herr Strindlund tycktes mena, allså helt enkelt klippa av denna möjlighet. Jag kan inte heller tro, att detta var herr Strindlunds mening, emedan hittills icke någon regel finnes, som säger, att man skall vägra bifalla sådana ansökningar av kusiner. I detta utlåtande finnas två exempel på dylika fall, där statsutskottet utan vidare</w:t>
        <w:br/>
        <w:br/>
        <w:t>Frågan är, om släktingarna stått den avlidne nära. Hittills har därvidlag den regeln tillämpats, att om arvlåtaren tidigare hjälpt sina släktingar på olika sätt, betraktar man saken, som om de hade stått honom nära. Nu är det vittnat i dessa fall, att han bistått åtskilliga av dessa kusiner både med penningar och livsmedel. Det är inte riktigt, tror jag, som herr Jansson säger, att sagda kusiner äro omhändertagna av fattigvården. I så fall skulle finansdepartementet ha varit mycket mera tveksamt. Jag ber att exempelvis här få läsa upp vad som genom myndigheternas utredning framkommit rörande den äldste brodern Söderqvist. »Per Ludvig Söderqvist är född 1871.» Han är alltså nu 64 år. »En ledamot av fattigvårdsstyrelsen i Sundsvall har intygat, att Söderqvist, vilken vore känd som en skötsam och redbar person, i ekonomiskt hänseende haft det trångt och besvärligt och att svårigheterna för honom nu ytterligare ökats därigenom att han lång tid varit arbetslös. På grund av sin höga ålder kunde han hädanefter icke påräkna något fast arbete, och utsikterna för honom att under någon längre tid kunna försörja sig själv vore tämligen små. Söderqvist har själv uppgivit, att han vid flera tillfällen under Söderströms livstid av denne erhållit hjälp i form av kontanter och lån.» Det förhåller sig på ungefär samma sätt beträffande alla dessa kusiner, utom att det i flera fall finns många barn, och de ha fått något bidrag från fattigvården som hjälp till ved och dylikt. Man har funnit, att dessa personer vilja försöka klara sig själva; i värsta fall ha de fått någon hjälp av fattigvården. Det förefaller mig, som om det just vore i sådana fall man borde tillämpa de mildare bestämmelserna. Om det vore på det sättet, att man här kunnat säga, att det funnes några fasta regler att följa, skulle jag erkänna dem, till och med om de blott vore så pass fasta som dem bankoutskottet har uppställt och följer. Men sådana finnas icke.</w:t>
        <w:br/>
        <w:br/>
        <w:t xml:space="preserve">Som jag redan nämnt, ha kusiner i vissa fall fått ärva. Av detta utlåtande framgår också, att de fått ärva i två fall. Statsutskottet har icke genomgående följt kammaradvokatfiskalsämbetet härutinnan. Därför behöver man inte taga herr Strindlund alldeles på orden, när han säger, att man kommer ut på villande hav, om man icke följer advokatfiskalsämbetet. Jag vill erinra om att när vi komma till ett följande fall, som rör Elin Andersson, kammaradvokatfiskalsämbetet har avstyrkt att </w:t>
      </w:r>
      <w:r>
        <w:rPr>
          <w:b/>
        </w:rPr>
        <w:t>hon²</w:t>
      </w:r>
      <w:r>
        <w:rPr>
          <w:b w:val="0"/>
        </w:rPr>
        <w:t xml:space="preserve"> skulle få något utöver fastigheten och lösöret. Kungl. Maj:t har föreslagit, att </w:t>
      </w:r>
      <w:r>
        <w:rPr>
          <w:b/>
        </w:rPr>
        <w:t>hon²</w:t>
      </w:r>
      <w:r>
        <w:rPr>
          <w:b w:val="0"/>
        </w:rPr>
        <w:t xml:space="preserve"> dessutom skulle få 5,000 kronor. Statsutskottet gillar Kungl. Maj:ts inställning men säger, att man i stället för detta kontantbelopp bör ge </w:t>
      </w:r>
      <w:r>
        <w:rPr>
          <w:b/>
        </w:rPr>
        <w:t>henne²</w:t>
      </w:r>
      <w:r>
        <w:rPr>
          <w:b w:val="0"/>
        </w:rPr>
        <w:t xml:space="preserve"> en livränta på 480 kronor, emedan det är så svårt för folk att handha kontanta penningar. Jag erkänner att statsutskottet i regel har rätt. Att vi härvidlag icke ansett det nödvändigt att ge vederbörande livränta beror på det speciella förhållande, som jag icke vet, om statsutskottet tagit reda på i handlingarna, att denna Elin Andersson visat sig vara en sådan person, att när </w:t>
      </w:r>
      <w:r>
        <w:rPr>
          <w:b/>
        </w:rPr>
        <w:t>hon²</w:t>
      </w:r>
      <w:r>
        <w:rPr>
          <w:b w:val="0"/>
        </w:rPr>
        <w:t xml:space="preserve"> redan 1927 av denne husbonde erhöll 5,000 kronor kontant, återfunnos dessa 5,000 kronor vid hans dödsfall i </w:t>
      </w:r>
      <w:r>
        <w:rPr>
          <w:b/>
        </w:rPr>
        <w:t>hennes²</w:t>
      </w:r>
      <w:r>
        <w:rPr>
          <w:b w:val="0"/>
        </w:rPr>
        <w:t xml:space="preserve"> byrålåda! Man kan alltså säga, att någon säkrare handhavare av kontanta penningar torde man få leta efter. Denna omständighet har gjort, att vi icke ansett det vara så farligt att låta </w:t>
      </w:r>
      <w:r>
        <w:rPr>
          <w:b/>
        </w:rPr>
        <w:t>henne²</w:t>
      </w:r>
      <w:r>
        <w:rPr>
          <w:b w:val="0"/>
        </w:rPr>
        <w:t xml:space="preserve"> få handha ytterligare 5,000 kronor.</w:t>
        <w:br/>
        <w:br/>
        <w:t>Det finns i grund och botten icke några andra regler att följa härvidlag än att, som vi ha sett, kusiner gång på gång genom statsmakternas medgivande fått ärva. Man avstår till dem arvet, när de i någon mån ha stått arvlåtaren nära och när de ekonomiska förhållandena äro ömmande. Det äro de faktiskt i detta fall, och jag tror, att statsutskottet skulle kunna med ganska stort</w:t>
      </w:r>
    </w:p>
    <w:p>
      <w:pPr>
        <w:pStyle w:val="Heading2"/>
      </w:pPr>
      <w:r>
        <w:t>3. Gerhard Strindlund (Bondeförbundet, man)</w:t>
      </w:r>
    </w:p>
    <w:p>
      <w:r>
        <w:rPr>
          <w:b w:val="0"/>
        </w:rPr>
        <w:t>Herr talman! Jag skall endast be att få göra ett par repliker.</w:t>
        <w:br/>
        <w:br/>
        <w:t xml:space="preserve">Till en början skall jag be att få säga några ord i anledning av herr statsrådets och chefens för finansdepartementet sista anförande, vari han reagerade emot att någon här sagt, att vederbörande skulle ha åtnjutit fullständig fattigvård. Jag nämnde ingenting om att ifrågavarande personer varit helt omhändertagna av fattigvården, men jag sade, att de haft regelbundet understöd från fattigvården. Är detta mitt yttrande felaktigt, är också propositionen felaktig, ty på sidan 4 omnämnes, att »Alma Ulrika Elisabet Vallin är född 1877 och </w:t>
      </w:r>
      <w:r>
        <w:rPr>
          <w:b/>
        </w:rPr>
        <w:t>änka²</w:t>
      </w:r>
      <w:r>
        <w:rPr>
          <w:b w:val="0"/>
        </w:rPr>
        <w:t xml:space="preserve"> efter en skräddare. </w:t>
      </w:r>
      <w:r>
        <w:rPr>
          <w:b/>
        </w:rPr>
        <w:t>Hon²</w:t>
      </w:r>
      <w:r>
        <w:rPr>
          <w:b w:val="0"/>
        </w:rPr>
        <w:t xml:space="preserve"> är dövstum samt åtnjuter för sig själv och en minderårig son regelbundet understöd av fattigvården.&gt; </w:t>
      </w:r>
      <w:r>
        <w:rPr>
          <w:b/>
        </w:rPr>
        <w:t>Hon²</w:t>
      </w:r>
      <w:r>
        <w:rPr>
          <w:b w:val="0"/>
        </w:rPr>
        <w:t xml:space="preserve"> brukade ibland få hjälp av Söderström. Jag vill dessutom framhålla, att nog kan det väl finnas godhjärtade personer, som ge hjälp, utan att de hjälpbehövande stå dem nära.</w:t>
        <w:br/>
        <w:br/>
        <w:t xml:space="preserve">Herr Lithander anser, att alla kusiner borde vara berättigade till arv, och tycks därför vilja driva den linjen, att alla förslag som komma fram om att arvsfonden skulle avstå arv till kusiner utan vidare skola bifallas. Vidare finnes den linje, som vi försökt tillämpa i statsutskottet, nämligen att det först och främst skall finnas billighetsskäl, och vidare att vederbörande Jämväl skola ha stått arvlåtaren nära. Skillnaden mellan Kungl. Maj:ts förslag och utskottets är att vi velat i görligaste mån tillämpa jämväl den senare regeln. Frångås denna och anläggas nya synpunkter än dem som hittills tillämpats vid prövning av dessa ärenden, böra först ordentliga regler utarbetas. Det går ej att tillämpa en princip i ett fall och en annan i ett annat fall. Ty för statsutskottet måste de beslut, som i riksdagen fattas, bli vägledande för dylika ärendens framtida behandling inom utskottet. Jag anser det synnerligen farligt, om man skulle följa den princip, som </w:t>
      </w:r>
      <w:r>
        <w:rPr>
          <w:b/>
        </w:rPr>
        <w:t>fröken²</w:t>
      </w:r>
      <w:r>
        <w:rPr>
          <w:b w:val="0"/>
        </w:rPr>
        <w:t xml:space="preserve"> Wellin vill tillråda kammaren att ansluta sig till, nämligen att alltid — för att uttrycka sig med </w:t>
      </w:r>
      <w:r>
        <w:rPr>
          <w:b/>
        </w:rPr>
        <w:t>hennes²</w:t>
      </w:r>
      <w:r>
        <w:rPr>
          <w:b w:val="0"/>
        </w:rPr>
        <w:t xml:space="preserve"> ord — gå den mjukaste vägen. </w:t>
      </w:r>
      <w:r>
        <w:rPr>
          <w:b/>
        </w:rPr>
        <w:t>Hon²</w:t>
      </w:r>
      <w:r>
        <w:rPr>
          <w:b w:val="0"/>
        </w:rPr>
        <w:t xml:space="preserve"> har ingen invändning att göra emot statsutskottets princip, men emedan Kungl. Maj:t i detta fall varit mjukare, bör kammaren enligt </w:t>
      </w:r>
      <w:r>
        <w:rPr>
          <w:b/>
        </w:rPr>
        <w:t>hennes²</w:t>
      </w:r>
      <w:r>
        <w:rPr>
          <w:b w:val="0"/>
        </w:rPr>
        <w:t xml:space="preserve"> åsikt följa Kungl. Maj:t. Om statsutskottet skulle vara mjukare en annan gång, skulle kammaren alltså då följa utskottet. Det är alldeles orimligt att gå till väga på sådant sätt.</w:t>
        <w:br/>
        <w:br/>
        <w:t>Jag ber i detta samband att inom parentes få påpeka, att Kungl. Maj:t icke inskränkt förslaget om avstående av arv enbart till kusiner, utan jämväl till kusinbarn. Som skäl har bland annat åberopats, att den ene är arbetslös, att den andre har fattigvårdsunderstöd och att den tredje säkerligen kommer att falla fattigvården till last, ete. — allt nya motiv för att man skall avstå pengar från arvsfonden.</w:t>
        <w:br/>
        <w:br/>
        <w:t>Om man frångår hittills tillämpade system, går det nog med dessa frågor som det gick med pensionsfrågorna inom bankoutskottet. Om jag inte missminner mig, måste det, för att man skulle kunna få någon klarhet i det hela, anställas en särskild tjänsteman i finansdepartementet, som fick ta hand om de tilltrasslade pensionsfrågorna. Sedan dess har försökts att få alla sådana frågor hänvisade till Kungl. Maj:t för förberedande behandling innan de avgöras av riksdagen.</w:t>
        <w:br/>
        <w:br/>
        <w:t>Jag ber, herr talman,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