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762</w:t>
      </w:r>
    </w:p>
    <w:p>
      <w:r>
        <w:rPr>
          <w:b/>
        </w:rPr>
        <w:t xml:space="preserve">Datum: </w:t>
      </w:r>
      <w:r>
        <w:t>1935-06-04</w:t>
      </w:r>
    </w:p>
    <w:p>
      <w:r>
        <w:rPr>
          <w:b/>
        </w:rPr>
        <w:t xml:space="preserve">Kammare: </w:t>
      </w:r>
      <w:r>
        <w:t>Första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Sam Larsson (–, man)</w:t>
      </w:r>
    </w:p>
    <w:p>
      <w:r>
        <w:rPr>
          <w:b w:val="0"/>
        </w:rPr>
        <w:t>Herr talman! Jag tillåter mig att i allra största korthet framhålla en omständighet i detta utlåtande, som synes mig vara ganska anmärkningsvärd. Den gäller frågan om pensionsålderns bestämmande.</w:t>
        <w:br/>
        <w:br/>
        <w:t>Såsom kammarens ledamöter torde erinra sig, fastställdes vid föregående års riksdag bestämmelser rörande pensionsålder för civilstatens befattnings-</w:t>
        <w:br/>
        <w:br/>
        <w:t xml:space="preserve">Det förefaller mig vara minst sagt underligt, att riksdagen två år efter varandra skall för olika grupper av befattningshavare — i ena fallet inom civilstaten och i det andra vid riksdagens egna verk — tillämpa alldeles skilda principer vid bestämmandet av pensionsålder. Det kan t. ex. icke vara riktigt, att en </w:t>
      </w:r>
      <w:r>
        <w:rPr>
          <w:b/>
        </w:rPr>
        <w:t>kvinna¹</w:t>
      </w:r>
      <w:r>
        <w:rPr>
          <w:b w:val="0"/>
        </w:rPr>
        <w:t xml:space="preserve">, som har en befattning i riksbanken av den beskaffenheten, att </w:t>
      </w:r>
      <w:r>
        <w:rPr>
          <w:b/>
        </w:rPr>
        <w:t>hon²</w:t>
      </w:r>
      <w:r>
        <w:rPr>
          <w:b w:val="0"/>
        </w:rPr>
        <w:t xml:space="preserve"> är placerad exempelvis i 11:e lönegraden, skall avgå vid 60 års ålder, medan en </w:t>
      </w:r>
      <w:r>
        <w:rPr>
          <w:b/>
        </w:rPr>
        <w:t>kvinna¹</w:t>
      </w:r>
      <w:r>
        <w:rPr>
          <w:b w:val="0"/>
        </w:rPr>
        <w:t xml:space="preserve"> i samma lönegrad, som till t. ex. vid posten har hand om en stor kassarörelse, skall få sitta kvar till 63 års ålder.</w:t>
        <w:br/>
        <w:br/>
        <w:t>Vid denna tid på riksdagen är det säkerligen icke möjligt att få någon ändring av detta förhållande. Jag hyser den förhoppningen, att det ett kommande år skall vara möjligt att få en rättelse till stånd på denna punkt, och jag har ansett det vara nödvändigt att fästa uppmärksamheten på den omständigheten, att man här, enligt mitt förmenande utan sakliga grunder, har tillämpat andra principer än dem riksdagen förra året godkände.</w:t>
      </w:r>
    </w:p>
    <w:p>
      <w:pPr>
        <w:pStyle w:val="Heading2"/>
      </w:pPr>
      <w:r>
        <w:t>2. Harald Åkerberg (Socialdemokraterna, man)</w:t>
      </w:r>
    </w:p>
    <w:p>
      <w:r>
        <w:rPr>
          <w:b w:val="0"/>
        </w:rPr>
        <w:t>Ehuru jag i utskottet närmast var benägen att försöka tillämpa samma principer med avseende på detta reglemente som på det civila pensionsreglementet, vill jag nämna ett par ord rörande utskottets motivering för det förslag, som utskottet kommit till.</w:t>
        <w:br/>
        <w:br/>
        <w:t xml:space="preserve">Det är riktigt, som herr Larsson här framhållit, att det blir en viss olikhet mellan de båda reglementena. Vissa </w:t>
      </w:r>
      <w:r>
        <w:rPr>
          <w:b/>
        </w:rPr>
        <w:t>kvinnliga¹</w:t>
      </w:r>
      <w:r>
        <w:rPr>
          <w:b w:val="0"/>
        </w:rPr>
        <w:t xml:space="preserve"> tjänstemän i de högre graderna få nämligen i det nu föreliggande reglementet en pensionsålder av 60 år, under det att de enligt det civila pensionsreglementet i vissa fall kunna komma upp till 63 år och till och med till 65 år. Anledningen till att pensionsåldern i det nu förevarande förslaget satts så låg, är dels, att den nuvarande pensionsåldern för dessa tjänstemän är 60 år. Det har burit emot att vidtaga en höjning därav i tider, då man i allmänhet försöker att sänka pensionsåldrarna för att bereda plats åt den yngre arbetskraft, som tränger på. Dels har man ifrån de olika fullmäktiges sida bestämt påyrkat en låg pensionsålder. Bankofullmäktige ha till och med yrkat på att den skulle sättas till 55 år. Riksgäldsfullmäktige ha hållit sig till 60 år. I intet fall har man velat gå med på en högre pensionsålder. Utskottet har således här ändå hållit sig till den högsta siffra, som förelegat i dessa fullmäktiges förslag.</w:t>
        <w:br/>
        <w:br/>
        <w:t>I fjol påyrkades ju i regeringens proposition en pensionsålder av högst 60 år för dessa befattningshavare. Det var såsom en kompromiss och efter många slitningar, som bankoutskottet då skapade den nya grupp, som fick en pensionsålder av 63 år. Från det håll, där man då med mycken energi gick in för den lösningen, har i år icke någon ansats i den riktningen förekommit.</w:t>
        <w:br/>
        <w:br/>
        <w:t>Detta är, herr talman, anledningen till att utskottet i detta fall har frångått den utan tvivel riktiga principen, att man bör upprätthålla parallellism mellan de olika pensionsreglementena.</w:t>
      </w:r>
    </w:p>
    <w:p>
      <w:pPr>
        <w:pStyle w:val="Heading2"/>
      </w:pPr>
      <w:r>
        <w:t>3. Ernst Wigforss (Socialdemokraterna, man)</w:t>
      </w:r>
    </w:p>
    <w:p>
      <w:r>
        <w:rPr>
          <w:b w:val="0"/>
        </w:rPr>
        <w:t>Jag har endast begärt ordet för att uttala min anslutning till vad herr Sam Larsson yttrade.</w:t>
        <w:br/>
        <w:br/>
        <w:t>Det gäller ju här en fråga, som närmast angår riksdagens egna verk, och den går sålunda icke genom finansdepartementet, men det kan inte hjälpas, att</w:t>
        <w:br/>
        <w:br/>
        <w:t xml:space="preserve">Det är ju två olika ting man här resonerar om. Bankoutskottets ordförande erinrar om att i Kungl. Maj:ts förslag till civilt tjänstepensionsreglemente föreslogs delvis lägre pensionsålder än riksdagen sedan beslöt, och det är riktigt. Å andra sidan är det fråga om att göra pensionsåldern i de olika lönegraderna oberoende av om det gäller manliga eller </w:t>
      </w:r>
      <w:r>
        <w:rPr>
          <w:b/>
        </w:rPr>
        <w:t>kvinnliga¹</w:t>
      </w:r>
      <w:r>
        <w:rPr>
          <w:b w:val="0"/>
        </w:rPr>
        <w:t xml:space="preserve"> befattningshavare, vilken princip bankoutskottet förra året med stor energi gick in för. Det egendomliga är, att man här söker bibehålla den gamla principen att tilllämpa olika pensionsålder, fastän man överallt sökt komma bort från denna klasskillnad mellan män och </w:t>
      </w:r>
      <w:r>
        <w:rPr>
          <w:b/>
        </w:rPr>
        <w:t>kvinnor¹</w:t>
      </w:r>
      <w:r>
        <w:rPr>
          <w:b w:val="0"/>
        </w:rPr>
        <w:t>, som riksdagens egna verk här vill upprätthålla.</w:t>
        <w:br/>
        <w:br/>
        <w:t>Jag vill uttala en förhoppning om att herr Sam Larsson har rätt i att man skall kunna få en ändring till stånd i detta förhållande.</w:t>
      </w:r>
    </w:p>
    <w:p>
      <w:pPr>
        <w:pStyle w:val="Heading2"/>
      </w:pPr>
      <w:r>
        <w:t>4. David Hansen (Folkpartiet, man)</w:t>
      </w:r>
    </w:p>
    <w:p>
      <w:r>
        <w:rPr>
          <w:b w:val="0"/>
        </w:rPr>
        <w:t>Herr talman! Jag har deltagit såväl i år som i fjol vid behandlingen i utskottet av de pensionsreglementen, varom man nu talar, nämligen i fjol det civila pensionsreglementet och i år pensionsreglementet för riksdagens verk.</w:t>
        <w:br/>
        <w:br/>
        <w:t xml:space="preserve">Jag vill erinra om att förslaget i fjol innebar, man kan säga en genomgående sänkning av pensionsåldern med i vissa fall ända upp till 7 år. Samtidigt godkändes principen om lika pensionsålder för män och </w:t>
      </w:r>
      <w:r>
        <w:rPr>
          <w:b/>
        </w:rPr>
        <w:t>kvinnor¹</w:t>
      </w:r>
      <w:r>
        <w:rPr>
          <w:b w:val="0"/>
        </w:rPr>
        <w:t xml:space="preserve">. Då vi 1 utskottet icke kunde följa Kungl. Maj:t i en så kraftig sänkning av pensionsåldrarna som föreslogs, sökte man bestämma pensionsåldrarna med hänsyn till varje befattningshavares särskilda arbetsuppgifter, och av denna anledning skapades en grupp med pensionsåldern 63 år. Men hänsyn till att tjänsterna voro av den art, att de besattes dels med män och dels med </w:t>
      </w:r>
      <w:r>
        <w:rPr>
          <w:b/>
        </w:rPr>
        <w:t>kvinnor¹</w:t>
      </w:r>
      <w:r>
        <w:rPr>
          <w:b w:val="0"/>
        </w:rPr>
        <w:t xml:space="preserve">, ehuru det var precis samma tjänstebefattning, kunde man inte undvika att i några fall — det var inte många — en eller annan </w:t>
      </w:r>
      <w:r>
        <w:rPr>
          <w:b/>
        </w:rPr>
        <w:t>kvinnlig¹</w:t>
      </w:r>
      <w:r>
        <w:rPr>
          <w:b w:val="0"/>
        </w:rPr>
        <w:t xml:space="preserve"> befattningshavare fick pensionsåldern höjd med i något fall två år och måhända i något fall tre år. Det gällde i varje fall ytterst få. Då det gäller de tjänstemän, vilkas pensionsreglemente vi i år haft att behandla, ber jag att få fästa kammarens uppmärksamhet på vad bankoutskottets ärade ordförande nyss sade, nämligen att det gällde </w:t>
      </w:r>
      <w:r>
        <w:rPr>
          <w:b/>
        </w:rPr>
        <w:t>kvinnor¹</w:t>
      </w:r>
      <w:r>
        <w:rPr>
          <w:b w:val="0"/>
        </w:rPr>
        <w:t xml:space="preserve">, som icke haft högre pensionsålder än 60 år och för vilka vederbörande verk föreslog en pensionsålder på 55 år. Jag kan inte finna, att man skall vara så bunden vid principerna, att man inte med hänsyn till vad som anförts från riksdagens verk, vilket visat sig vara skäligt, skall kunna fastställa samma pensionsålder för </w:t>
      </w:r>
      <w:r>
        <w:rPr>
          <w:b/>
        </w:rPr>
        <w:t>kvinnorna¹</w:t>
      </w:r>
      <w:r>
        <w:rPr>
          <w:b w:val="0"/>
        </w:rPr>
        <w:t>, som hittills varit gällande.</w:t>
        <w:br/>
        <w:br/>
        <w:t xml:space="preserve">Det är anledningen till att vi i bankoutskottet kunnat tillåta oss denna olika behandling i de båda fallen. Vi ha alltså i det förevarande fallet stannat kvar vid status quo beträffande pensionsåldern för </w:t>
      </w:r>
      <w:r>
        <w:rPr>
          <w:b/>
        </w:rPr>
        <w:t>kvinnorna¹</w:t>
      </w:r>
      <w:r>
        <w:rPr>
          <w:b w:val="0"/>
        </w:rPr>
        <w:t>, trots att verken, som sagt, yrkat på en ännu lägre pensionsålder.</w:t>
      </w:r>
    </w:p>
    <w:p>
      <w:pPr>
        <w:pStyle w:val="Heading2"/>
      </w:pPr>
      <w:r>
        <w:t>5. Ernst Wigforss (Socialdemokraterna, man)</w:t>
      </w:r>
    </w:p>
    <w:p>
      <w:r>
        <w:rPr>
          <w:b w:val="0"/>
        </w:rPr>
        <w:t xml:space="preserve">Med anledning av herr Hanséns yttrande vill jag bara säga, att det hade inte varit någon svårighet att tillmötesgå de sakliga argument, som eventuellt föranlett, att man i riksbanken eller riksgäldskontoret ville ha lägre pensionsålder för vissa befattningshavare. Ty i de sakkunnigas förslag, som utskottet frångått, säger man helt enkelt, att man tilllämpar denna pensionsålder med undantag för de fall, som äro omnämnda i en särskild bilaga och där man kan ta hänsyn till sådana förhållanden. Man kan således upprätthålla principen om likhet mellan man och </w:t>
      </w:r>
      <w:r>
        <w:rPr>
          <w:b/>
        </w:rPr>
        <w:t>kvinna¹</w:t>
      </w:r>
      <w:r>
        <w:rPr>
          <w:b w:val="0"/>
        </w:rPr>
        <w:t xml:space="preserve"> men ta hänsyn till sådana särskilda fall som låt oss säga riksbankens kassarörelse,</w:t>
      </w:r>
    </w:p>
    <w:p>
      <w:pPr>
        <w:pStyle w:val="Heading2"/>
      </w:pPr>
      <w:r>
        <w:t>6. Viktor Larsson (Socialdemokraterna, man)</w:t>
      </w:r>
    </w:p>
    <w:p>
      <w:r>
        <w:rPr>
          <w:b w:val="0"/>
        </w:rPr>
        <w:t xml:space="preserve">Herr talman! Då intet yrkande om avslag på utskottets hemställan blivit gjort, kanske det kunde vara onödigt att vidare orda 1 detta ärende, men jag vill erinra om att, som bankoutskottets ordförande redan framhållit, fullmäktige i riksbanken för sin del anfört, att en pensionsålder av 55 år, oberoende av lönegrad, borde vara lämplig med avseende å de </w:t>
      </w:r>
      <w:r>
        <w:rPr>
          <w:b/>
        </w:rPr>
        <w:t>kvinnliga¹</w:t>
      </w:r>
      <w:r>
        <w:rPr>
          <w:b w:val="0"/>
        </w:rPr>
        <w:t xml:space="preserve"> befattningshavarna. Vidare ber jag få erinra om, vilket framgår av fullmäktiges framställning, att flertalet privatbanker ha en pensionsålder för de </w:t>
      </w:r>
      <w:r>
        <w:rPr>
          <w:b/>
        </w:rPr>
        <w:t>kvinnliga¹</w:t>
      </w:r>
      <w:r>
        <w:rPr>
          <w:b w:val="0"/>
        </w:rPr>
        <w:t xml:space="preserve"> befattningshavarna, som i regel ligger vid 55 år. Vi ha ju inom riksbanken ännu inte någon erfarenhet beträffande denna ålder på 60 år för de </w:t>
      </w:r>
      <w:r>
        <w:rPr>
          <w:b/>
        </w:rPr>
        <w:t>kvinnliga¹</w:t>
      </w:r>
      <w:r>
        <w:rPr>
          <w:b w:val="0"/>
        </w:rPr>
        <w:t xml:space="preserve"> befattningshavarna, därför att det är ännu ingen, som nått fram till den åldersgränsen, men det är med hänsyn till vad privatbankerna ansett sig böra fastställa med avseende å pensionsåldern för sina </w:t>
      </w:r>
      <w:r>
        <w:rPr>
          <w:b/>
        </w:rPr>
        <w:t>kvinnliga¹</w:t>
      </w:r>
      <w:r>
        <w:rPr>
          <w:b w:val="0"/>
        </w:rPr>
        <w:t xml:space="preserve"> tjänstemän, som vi ansett försiktigheten bjuda att icke gå längre. Nu har Ju utskottet stannat för 60 år, och jag ber att få hemställa om bifall till detta, så mycket hellre som jag för min del anser, att denna schablonmässighet, som vederbörande på sina håll anse bör tillämpas överallt i statens verk, väl inte nödvändigtvis behöver tillämpas, då det gäller riksdagens egna verk.</w:t>
      </w:r>
    </w:p>
    <w:p>
      <w:pPr>
        <w:pStyle w:val="Heading2"/>
      </w:pPr>
      <w:r>
        <w:t>7. David Hansen (Folkpartiet, man)</w:t>
      </w:r>
    </w:p>
    <w:p>
      <w:r>
        <w:rPr>
          <w:b w:val="0"/>
        </w:rPr>
        <w:t xml:space="preserve">Ja, med anledning av vad herr statsrådet och chefen för finansdepartementet nyss anförde ber jag att få erinra om att i fjol hade man att göra med en personalgrupp, som, om jag inte minns fel, uppgick till mellan 30,000 och 40,000. Man ansåg då i utskottet nödvändigt att gå till en ingående prövning från fall till fall med hänsyn till vederbörandes dagliga gärning, huru tjänstgöringsåldern lämpligen borde fastställas. I detta fall, då det gällde ett relativt ringa antal </w:t>
      </w:r>
      <w:r>
        <w:rPr>
          <w:b/>
        </w:rPr>
        <w:t>kvinnliga¹</w:t>
      </w:r>
      <w:r>
        <w:rPr>
          <w:b w:val="0"/>
        </w:rPr>
        <w:t xml:space="preserve"> befattningshavare, ansåg sig inte utskottet böra gå in för en sådan differentiering av det relativt ringa antal befattningshavare, det här gällde.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762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