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2070</w:t>
      </w:r>
    </w:p>
    <w:p>
      <w:r>
        <w:rPr>
          <w:b/>
        </w:rPr>
        <w:t xml:space="preserve">Datum: </w:t>
      </w:r>
      <w:r>
        <w:t>1936-05-22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Spångberg (Socialistiska partiet, man)</w:t>
      </w:r>
    </w:p>
    <w:p>
      <w:r>
        <w:rPr>
          <w:b w:val="0"/>
        </w:rPr>
        <w:t>Herr talman! Herr Anderson i Råstock ansåg det vara bäst att icke syssla med denna fråga nu, eftersom man påbörjat ett samarbete mellan telegrafverkets personalförbund och telegrafoch telefonmannaförbundet. Jag förstår icke, vad den saken har med detta att göra överhuvud taget. Här gäller det statstjänarnas rätt att slippa utföra strejkbryteriarbete, och den frågan blir lika aktuell, även om ett samarbete skulle sträcka sig ända till en sammanslutning mellan båda här ifrågavarande förbund. När sedan herr Anderson i Råstock pekar på den utredning som pågår, vill jag framhålla, att denna utredning icke har några direktiv i den riktning, som vi påyrka i motionen. Om det finns några sådana direktiv, var vänlig kom fram med dem, men kom icke med några allmänna ordalag om att det skall bli arbetsfred o. s. v., ty bakom dylika uttryck arbetsfred och förhandlingsordning kan det lura förbud för arbetarna att genom arbetsnedläggelse genomföra ett krav.</w:t>
        <w:br/>
        <w:br/>
        <w:t xml:space="preserve">Herr Anderson i Råstock sade vidare, att man icke hade läst rätt här i debatten. Nej, det har man icke gjort, det är jag den förste att understryka, och Jag är mycket tacksam för att herr Anderson läste fortsättningen på vad personalförbundet sagt, ty det står i en ganska bjärt motsättning till vad </w:t>
      </w:r>
      <w:r>
        <w:rPr>
          <w:b/>
        </w:rPr>
        <w:t>fru²</w:t>
      </w:r>
      <w:r>
        <w:rPr>
          <w:b w:val="0"/>
        </w:rPr>
        <w:t xml:space="preserve"> Nordgren hade citerat, när </w:t>
      </w:r>
      <w:r>
        <w:rPr>
          <w:b/>
        </w:rPr>
        <w:t>hon²</w:t>
      </w:r>
      <w:r>
        <w:rPr>
          <w:b w:val="0"/>
        </w:rPr>
        <w:t xml:space="preserve"> behagade sluta sin läsning. När herr Anderson till sist pekade på, att telegrafverkets personalförbund sagt, att samtliga organisationer borde beredas tillfälle att behandla och yttra sig i saken, tillåter jag mig göra en fråga till utskottet: Varför har utskottet icke givit dessa personalorganisationer denna möjlighet? Varför har andra kammarens fjärde tillfälliga utskott icke remitterat frågan till organisationerna? Det hade väl varit lämpligt att få uttalanden därifrån, och jag är ganska övertygad om, att det skulle: blivit en enstämmig anslutning till motionen. Men om motionen bifalles — och det borde man vara med om från den grupp som herr Anderson i Råstock säger sig representera — blir personalen i tillfälle att yttra sig, som herr Anderson i Råstock önskar. Och det finns sannerligen intet skäl att avslå motionen.</w:t>
        <w:br/>
        <w:br/>
        <w:t>Till bramstorparen, herr Andersson i Södergård, som yttrade sig här, vill jag sedan säga, att när han talar om samhällsfientlig verksamhet, som skulle vara syftet med motionen, så är det ett bra bevis på vad han menar med samhällsfientlig verksamhet. Man måste se efter, huru ansvaret för konfliktens uppkomst skall fördelas, ty någon måste bära ansvaret såsom motpart, icke sant, gent emot telegrafoch telefonmannaförbundets personal, som gick i konflikt. Det fanns väl någon part bakom — den parten var samhället. Kan bramstorparen herr Andersson i Södergård anföra något skäl för att det var någon annan part, så var vänlig kom fram med det. Jag har icke sagt att samhället skulle straffas. Man kan icke tala om straff, i detta sammanhang, ty Jag anser icke att det är ett straff att tillmötesgå rättmätiga krav från under-</w:t>
        <w:br/>
        <w:br/>
        <w:t>Ang. skyldigheten för statsanställda att utföra strejkbryteriarbete. (Forts.) tryckta och underbetalade grupper, även om herr Andersson möjligen tolkar det på det sättet; det må stå för hans räkning. Vad vi härvidlag ha krävt är, att personalen icke skall behöva kommenderas ut i en konflikt; att detta lätt kan genomföras visar statstjänarnas centralorganisations styrelse, då den i yttrandet över motionen har åberopat 1928 års lönekommittés betänkande, till vilket herr Reinvall fogat en reservation, däri han först ansluter sig till kommittés allmänna inställning, att personalen är skyldig utföra ålagt arbete och att personalen är skyldig att flytta till plats, till vilken den blir beordrad 0. S. v., men tillägger: »dock må under konflikt tjänsteman icke beordras utföra arbete, som eljest utföres av i konflikten deltagande.» Jag kan icke förstå, att detta är så oerhört samhällsfientligt som herr Andersson i Södergård vill göra gällande. Jag tror, att man kan nå det hela med en så enkel bestämmelse. Konstigare är enligt min mening icke det hela.</w:t>
        <w:br/>
        <w:br/>
        <w:t>När det blir fråga om att avgöra huru ansvarsfördelningen skall ske, uppstår frågan: Hade denna personal så oberättigade krav att, om de genomförts, man kunde ansett att samhället som sådant skulle ha kommit i fara? Konfliktens syfte var, att de fasta linjearbetarna skulle erhålla 5 42 ökning på lön och traktamente. D. v. s. för en fast anställd linjearbetare, som arbetar hela året och har sitt arbete fördelat på olika delar av landet, som många gånger ligger milslångt borta från sitt hem, icke kan komma hem varje dag, knappast varje vecka, skulle årslönen ökas från 2,016 kronor till 2,160 kronor samt traktamentena i samma proportion. Det var vad denna personal kämpade för, herr Andersson. Det var vad dessa arbetare kunna få för ett helt års långt arbete, så beskaffat att de måste ligga ute. De nödgas därvid hyra rum och köpa mat, och skulle erhålla ett traktamente på 1 kr. 50 öre för natt och 2 kronor för dag. Jag kan icke anse, att det finns något som helst berättigande i det oförskämda anfall, som bramstorparen herr Andersson i Södergård här gjorde på telegrafoch telefonmännen och på oss och vår grupp i detta sammanhang. Jag protesterar på det allra bestämdaste mot en dylik uppläggning.</w:t>
        <w:br/>
        <w:br/>
        <w:t>Jag skall icke gå in på de försök, som herr Andersson gjorde att försvara herr Leo, som ju är frånvarande. Jag kan icke hjälpa, att han är frånvarande, men jag är tvungen att draga fram fakta, även om herr Leo behagar vara frånvarande. Ett sådant faktum är väl det uttalande, som telegrafverkets personalförbund gjorde, vilket var beställt av herr Leo. Men sedan har det visat sig, att vad vi här hade sagt, var riktigt.</w:t>
        <w:br/>
        <w:br/>
      </w:r>
      <w:r>
        <w:rPr>
          <w:b/>
        </w:rPr>
        <w:t>Fru²</w:t>
      </w:r>
      <w:r>
        <w:rPr>
          <w:b w:val="0"/>
        </w:rPr>
        <w:t xml:space="preserve"> Nordgren motiverade sitt avslagsyrkande med att citera personalförhundets utlåtande i passande delar. Nu är det ju ändock så, som jag nyss sade till herr Anderson i Råstock, att </w:t>
      </w:r>
      <w:r>
        <w:rPr>
          <w:b/>
        </w:rPr>
        <w:t>fru²</w:t>
      </w:r>
      <w:r>
        <w:rPr>
          <w:b w:val="0"/>
        </w:rPr>
        <w:t xml:space="preserve"> Nordgren hade ju kunnat fortsätta att citera, så att </w:t>
      </w:r>
      <w:r>
        <w:rPr>
          <w:b/>
        </w:rPr>
        <w:t>hon²</w:t>
      </w:r>
      <w:r>
        <w:rPr>
          <w:b w:val="0"/>
        </w:rPr>
        <w:t xml:space="preserve"> kommit fram till sid. 6, där personalförbundet säger ifrån, att det har intet att erinra emot förslaget utan ansluter sig till detsamma och önskar att det skall upptagas till behandling och behandlas av samtliga statstjänarorganisationer — alltså ett principiellt ställningstagande för motionen i fråga.</w:t>
        <w:br/>
        <w:br/>
        <w:t xml:space="preserve">Beträffande därefter frågan om strejkbryteri sade vi på ett mycket tidigt stadium av konflikten ifrån, att vi anse icke, att telegrafverkets personal kan stämplas som strejkbrytare, men vi ha sagt att personalen utfört strejkbryteriarbete, och det är — jag återkommer på nytt till den samhällsfientliga inställningen — icke personalen som sådan som främst bär skulden till detta, utan det är samhället som bär skulden till att personalen med bestämmelser om straff på böter, på mistning av tjänst och på fängelse tvingas ut i dylikt arbete. Ansvaret måste läggas där ansvaret ligger, och ansvaret ligger icke främst på denna personal, utan det ligger främst hos samhället. Jag kan ju erinra </w:t>
      </w:r>
      <w:r>
        <w:rPr>
          <w:b/>
        </w:rPr>
        <w:t>fru²</w:t>
      </w:r>
      <w:r>
        <w:rPr>
          <w:b w:val="0"/>
        </w:rPr>
        <w:t xml:space="preserve"> Nordgren därom, att vi på ett mycket tidigt stadium av konflikten förklarade,</w:t>
        <w:br/>
        <w:br/>
        <w:t xml:space="preserve">När vi förklarade detta, vad skrev tidningen Social-Demokraten då? Jo, då framhöll Social-Demokraten i ett mellanstick »att man minns med vilken glad överraskning telegrafstyrelsen annoterade en så värdefull hjälp från Kilbomspartiets sida. Här hade den svart på vitt på det riktiga i att använda ordinarie personal för att utföra nedlagt arbete.» Social-Demokratens uppläggning är lika felaktig, lika demagogisk som när man här säger, att vi ha kallat denna personal för strejkbrytare. Vi ha icke sagt, att telegrafverket har rätt, utan vi ha sagt, att personalen är underkastad de och de bestämmelserna, och att det är dessa bestämmelser som böra ändras. Det vore önskligt, om herrarna och </w:t>
      </w:r>
      <w:r>
        <w:rPr>
          <w:b/>
        </w:rPr>
        <w:t>damerna²</w:t>
      </w:r>
      <w:r>
        <w:rPr>
          <w:b w:val="0"/>
        </w:rPr>
        <w:t xml:space="preserve"> på den socialdemokratiska fronten ville vara vänliga att läsa rätt innantill och icke så medvetet bedriva en slags propaganda utåt, som just främst är orsaken till — vad härvidlag herr Anderson i Råstock har påtalat — den splittring, som delvis uppkommit mellan dessa båda personalgrupper.</w:t>
        <w:br/>
        <w:br/>
        <w:t>Herr Nilsson i Göteborg förmenade, att vi hade sagt, att det förelåg en premiering av strejkbrytare. Ja, dessa gratifikationer för strejkbrytararbete voro en premiering, det är icke tu tal om den saken. Aven om det moraliska ansvaret därför måste läggas just på samhället, så utfördes dock strejkbryteriarbete.</w:t>
        <w:br/>
        <w:br/>
        <w:t>Iocial-Demokraten själv har haft infört någon gång i slutet av februari ett uttalande från telegrafoch telefonmannaförbundets avdelning I. Jag skall läsa upp denna notis, som fanns införd i regeringsorganet, och vi skola se vilka linjer den sammanfaller med. Det säges: »Telegrafoch telefonmannaförbundets avd. I har uttalat sin bestämdaste protest mot att telegrafverkets tjänstemän, under verkets konflikt med arbetarna, utfört sådant blockerat arbete, som dessa tjänstemän icke annars utföra.»</w:t>
        <w:br/>
        <w:br/>
        <w:t>I telegrafoch telefonmannaförbundets tidning finna vi en artikel, återgiven i Social-Demokraten den 5 februari innevarande år. Där heter det:</w:t>
        <w:br/>
        <w:br/>
        <w:t>»Tjänstemännen kommenderades ut att upptaga det av linjearbetarna nedlagda arbetet och utförde det också. — — — Tjänstemännen utförde arbete som de under vanliga förhållanden icke befatta sig med. — — — För detta tilldelas de gratifikationer, och detta försvaras och förklaras vara fullkomligt i sin ordning.» — Det är en polemik mot dem som intaga en försvarsställning för telegrafverkets uppträdande här gent emot den lågt avlönade arbetargruppen, och man fortsätter: »Man bemantlar visserligen det hela något med att dessa gratifikationer skulle vara ersättningar för resekostnader vid hemkallandet från semester, men det är inte bara sådant det gäller. Gratifikationerna bestodo till stor del av verkliga gratifikationer till en del tjänstemän» 0. s. Vv. —— — »Detta är ett ofrånkomligt faktum, och reseersättningar o. dyl. kunna lämnas helt ur räkningen. — — — Gratifikationerna ha i och för sig liten betydelse, men betydelsefullt är att man därmed och i försvaret därför legaliserat strejkbryteriet och gjort kampen mot arbetarna till en berömlig gärning.»</w:t>
        <w:br/>
        <w:br/>
        <w:t>Detta skrev telegrafoch telefonmannaförbundets tidning. Jag kan icke föreställa mig, att någon vill bestrida, att denna personal var part i denna sak.</w:t>
        <w:br/>
        <w:br/>
        <w:t>Till vad som anförts, herr talman, kunde anföras åtskilligt mera från det rikhaltiga material, som finns i denna konflikt, men jag vill slå fast gent emot de socialdemokrater, som här inta en annan ställning, att det är det socialistiska partiet, som härvidlag ställt sig på arbetarnas ståndpunkt. Det är utskottet, som gått emot arbetarnas krav. Jag tycker, att för arbetarrepresentanterna</w:t>
      </w:r>
    </w:p>
    <w:p>
      <w:pPr>
        <w:pStyle w:val="Heading2"/>
      </w:pPr>
      <w:r>
        <w:t>2. Johan Brädefors (Vänsterpartiet, man)</w:t>
      </w:r>
    </w:p>
    <w:p>
      <w:r>
        <w:rPr>
          <w:b w:val="0"/>
        </w:rPr>
        <w:t xml:space="preserve">Herr talman! Endast ett par ord till herr Andersson i Södergård. Jag tycker, att hans genmäle till mig vittnade om vilken oerhörd argumentsnöd herr Andersson befann sig i, när han icke nöjde sig med att tala om de förhållanden, som diskussionen här egentligen skall röra sig om, nämligen de svenska statstjänarnas intressen gent emot strejkbryteri, utan måste förirra sig till Ryssland för att därifrån söka få argument emot vad jag sagt. Han erkände i alla fall, att nog ha vi klassintressen litet till mans. Men han ville vara så ädelmodig att låta klassintressena få </w:t>
      </w:r>
      <w:r>
        <w:rPr>
          <w:b/>
        </w:rPr>
        <w:t>maka³</w:t>
      </w:r>
      <w:r>
        <w:rPr>
          <w:b w:val="0"/>
        </w:rPr>
        <w:t xml:space="preserve"> åt sig för samhällsintresset. Men varför det, herr Andersson i Södergård? Varför </w:t>
      </w:r>
      <w:r>
        <w:rPr>
          <w:b/>
        </w:rPr>
        <w:t>maka³</w:t>
      </w:r>
      <w:r>
        <w:rPr>
          <w:b w:val="0"/>
        </w:rPr>
        <w:t xml:space="preserve"> edra klassintressen åt sig för samhällsintresset? Är icke förklaringen den, att just den klass, som herr Andersson här representerar, är den klass, som styr detta land både ekonomiskt och politiskt. Och när dessa personer tala om sina klassintressen och samhällets intressen, så är det samma sak, ty det är deras klassintressen, som framföras av det nuvarande samhällssystemet här i Sverige.</w:t>
        <w:br/>
        <w:br/>
        <w:t>Jag skulle också vilja ställa den frågan till herr Andersson: vad göra herr Anderssons klassbröder i Ryssland, som herr Andersson talade om? Underordna de också sina klassintressen under de bestående samhällsintressen, som där råda 1 dag? Nej, det göra de sannerligen icke, utan med de imperialistisktkapitalistiska ländernas hjälp söka de underminera så mycket som möjligt det system, som där finnes, och som icke sammanfaller med deras klassintressen och icke heller med herr Anderssons klassintressen. Så förhåller det sig med dessa klassintressen.</w:t>
      </w:r>
    </w:p>
    <w:p>
      <w:pPr>
        <w:pStyle w:val="Heading2"/>
      </w:pPr>
      <w:r>
        <w:t>3. Olivia Nordgren (Socialdemokraterna, woman)</w:t>
      </w:r>
    </w:p>
    <w:p>
      <w:r>
        <w:rPr>
          <w:b w:val="0"/>
        </w:rPr>
        <w:t>Herr talman! Bara några ord till herr Spångberg. Jag har icke drivit någon propaganda i denna sak; det överlämnar jag åt herr Spångberg och hans partikamrater att göra. Därtill tycker jag, att denna fråga är alltför allvarlig.</w:t>
        <w:br/>
        <w:br/>
        <w:t>Jag har redan förklarat, varför jag kunnat vara med om utskottets avstyrkande utlåtande, men vill ännu en gång betona att utskottet tydligt och klart säger ifrån, att frågan bör ägnas uppmärksamhet, och att utskottet förväntar, att den blir föremål för utredning. I sak har alltså utskottet tillstyrkt, att denna fråga tages upp till utredning, även om man icke vill följa motionens linjer.</w:t>
        <w:br/>
        <w:br/>
        <w:t>Jag anser, att man gjorde saken betydligt större gagn, om man, i stället för att ägna sig åt en så ofruktbar debatt, som den nu pågående, enade sig om att frågan bör ordnas upp, och om det icke gjordes så mycket rabalder omkring densamma, särskilt som vad som här i dag anförts från motionärernas sida i det närmaste sammanfaller med vad i saken anfördes vid årets remissdebatt. Jag hade väntat att i dag åtminstone slippa höra detta ånyo upprepas. Jag tror — även om herr Spångberg vill göra gällande motsatsen — att det icke med fog kan sägas, att jag ställer mig mera ointresserad av att dessa grupper få sina intressen beaktade, än vad herr Spångberg gör. Men man kan bevaka denna personals intressen på olika sätt, herr Spångberg. Jag har gjort det på det sättet, att jag understrukit vikten av att den utredning, som pågår, tager upp denna sak till behandling. och har ansett. att man därför icke behöver påkalla något nytt ingripande. Herr talman, jag ber få vidhålla mitt yrkande.</w:t>
      </w:r>
    </w:p>
    <w:p>
      <w:pPr>
        <w:pStyle w:val="Heading2"/>
      </w:pPr>
      <w:r>
        <w:t>4. August Spångberg (Socialistiska partiet, man)</w:t>
      </w:r>
    </w:p>
    <w:p>
      <w:r>
        <w:rPr>
          <w:b/>
        </w:rPr>
        <w:t>Fru²</w:t>
      </w:r>
      <w:r>
        <w:rPr>
          <w:b w:val="0"/>
        </w:rPr>
        <w:t xml:space="preserve"> Nordgren ansåg, att </w:t>
      </w:r>
      <w:r>
        <w:rPr>
          <w:b/>
        </w:rPr>
        <w:t>hon²</w:t>
      </w:r>
      <w:r>
        <w:rPr>
          <w:b w:val="0"/>
        </w:rPr>
        <w:t xml:space="preserve"> önskade få slippa höra upprepas vad som sades under remissdebatten i denna fråga. Men om det nu gäller vissa fakta, och dessa anförts i remissdebatten, så ha dessa fakta icke ändrats därför att några månader förflutit sedan remissdebatten. Det är så att</w:t>
        <w:br/>
        <w:br/>
        <w:t xml:space="preserve">Jag efterlyser på nytt, huruvida den kommitté, som sitter, erhållit några direktiv om utredning av frågan om rätt för statstjänarna att slippa utföra strejkbryteriarbete. Och jag vill säga, att om sådana direktiv funnos för kommittén, om man kunde förvänta, att utredningen i det avseendet skulle gå 1 sådan riktning, då skulle jag icke ha något emot </w:t>
      </w:r>
      <w:r>
        <w:rPr>
          <w:b/>
        </w:rPr>
        <w:t>fru²</w:t>
      </w:r>
      <w:r>
        <w:rPr>
          <w:b w:val="0"/>
        </w:rPr>
        <w:t xml:space="preserve"> Nordgrens yrkande. Men det föreligger icke något sådant direktiv för denna utredning. </w:t>
      </w:r>
      <w:r>
        <w:rPr>
          <w:b/>
        </w:rPr>
        <w:t>Fru²</w:t>
      </w:r>
      <w:r>
        <w:rPr>
          <w:b w:val="0"/>
        </w:rPr>
        <w:t xml:space="preserve"> Nordgren kan i sinom tid läsa i riksdagsprotokollet — efteråt brukar det visa sig, att vi få tämligen rätt, när vi gissa oss till vad herrarna och </w:t>
      </w:r>
      <w:r>
        <w:rPr>
          <w:b/>
        </w:rPr>
        <w:t>damerna²</w:t>
      </w:r>
      <w:r>
        <w:rPr>
          <w:b w:val="0"/>
        </w:rPr>
        <w:t xml:space="preserve"> mena — att denna utredning i stället torde komma att gå ut på förbud för vissa strej- M. Detta är någonting, som närmast är motsatsen till vad vi härvidlag velat få fram.</w:t>
        <w:br/>
        <w:br/>
        <w:t xml:space="preserve">Det är konstigt, att man har så lätt för att citera allting annat, men icke citerar telegrafoch telefonmannaförbundet, som i yttrandet till det utskott, där </w:t>
      </w:r>
      <w:r>
        <w:rPr>
          <w:b/>
        </w:rPr>
        <w:t>fru²</w:t>
      </w:r>
      <w:r>
        <w:rPr>
          <w:b w:val="0"/>
        </w:rPr>
        <w:t xml:space="preserve"> Nordgren sitter, meddelar »att vi allvarligt tillstyrka motionen, enär det icke kan i verkligheten och i längden gagna vare sig staten, det verk det gäller, tjänstemännen eller arbetarna att tvinga tjänstemän att utföra strejkbryteriarbete». Detta uttalande har varit vägledande för oss vid vårt ställningstagande i denna fråga. Det torde också ha kunnat varit vägledande för socialdemokraterna.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