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783</w:t>
      </w:r>
    </w:p>
    <w:p>
      <w:r>
        <w:rPr>
          <w:b/>
        </w:rPr>
        <w:t xml:space="preserve">Datum: </w:t>
      </w:r>
      <w:r>
        <w:t>1936-06-17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Wigforss (Socialdemokraterna, man)</w:t>
      </w:r>
    </w:p>
    <w:p>
      <w:r>
        <w:rPr>
          <w:b w:val="0"/>
        </w:rPr>
        <w:t>Jag tänker inte förlänga debatten, jag skall bara ge några repliker, därför att det kanske är nödvändigt att klara upp några missförstånd.</w:t>
        <w:br/>
        <w:br/>
        <w:t>Herr Hansén citerade de — mycket onödigt, skulle jag vilja säga — välvilliga ord, som utskottet efter all den föregående kritiken har skjutit in. Jag vände mig inte alls mot något annat än att när utekottet börjar med en uppräkning på en hel rad sidor av de utredningar, som det anser borde ha föregått ett framläggande av förslag av denna natur, så kan ingen uppfatta det annat än som ett uttalande av den meningen, att detta borde ha skett. Om man sedan efteråt kastar in några välvilliga ord, så verkar det närmast, som om man tyckte, att man borde säga någonting vid sidan om det hela. Detta karakteriserar kanske ytterligare den något egendomliga tillkomsten av denna utskottsmotivering.</w:t>
        <w:br/>
        <w:br/>
        <w:t>Jag glömde, när jag bemötte herr Johan Nilsson första gången, att svara på en direkt fråga. Det är så mycket mer skäl att taga upp den, som nu herr Johan Bergman ytterligare strukit under frågan om huruvida dessa så kallade lyxskatter skola räknas med. Herr Johan Nilsson frågade, om det verkligen var min mening, att om staten av andra skäl, till exempel folkhygieniska och dylikt, skulle finna sig föranlåten att ytterligare starkt belasta konsumtionen av dessa onödiga varor, detta då måste föranleda en justering av övriga skatter. Jag svarar ett fullständigt klart ja. Jag tror, att det är omöjligt att komma ut till det svenska folket och förklara: »Hur mycket skatt vi än lägga på sådana varor, som vi anse vara onödiga, skall ni inte resonera därom. Alla edra andra skatter skola vara likadana.&gt; Om herrar bondeförbundare, som på den punkten icke ha reserverat sig mot utskottets betänkande, verkligen ha klart för sig, att utskottets yttrande här innebär, att svenska riksdagen skall slå fast, att hur mycket man än beskattar sprit, tobak, vin och öl, så skall detta inte räknas in i den samlade skattebelastningen, och det skall icke kunna föranleda något slags jämkning på övriga skatter, då borde de förstå, att man har slagit fast principer, som inte kunde framföras i något annat civiliserat land.</w:t>
        <w:br/>
        <w:br/>
        <w:t>Herr Johan Bergman förväxlar fullständigt frågan om spritbeskattningens höjd och belastningen. England och Danmark ha en mycket högre spritbeskattning än Sverige på varje liter, men England och Danmark belasta konsumenterna betydligt mindre än Sverige, helt enkelt därför att konsumenterna i Danmark och England konsumera så mycket mindre. Det är alltså två fullständigt skilda ting. Om vi lade, låt mig säga, tiodubbel beskattning på varje liter — och herr Bergman kan få nämna vilken siffra som helst — och detta hade till följd, att konsumtionen inskränktes så starkt, att till exempel varje individ och varje familj endast betalade ett obetydligt belopp, skulle det betyda, att denna spritbeskattning var synnerligen låg, under det att en spritbeskattning, som, även om den håller sig vid måttligare siffror på varje liter, dock svarar mot en mycket stor kosumtion, innebär en kraftig belastning av de mindre inkomsttagarna.</w:t>
        <w:br/>
        <w:br/>
        <w:t xml:space="preserve">Jag tror, att just därför att jag själv hör till nykterhetsvännerna och därför att jag har sympatier för tanken, att man måste överväga även den möjligheten att begränsa konsumtionen genom högre beskattning — en åsikt, som kanske herr Johan Bergman inte företräder men som hyses av många andra inom nykterhetsrörelsen — så kan jag säga, att det är så mycket nödvändigare, att man inte förlorar ur sikte, att denna sak verkligen har en annan sida än bara den folkhygieniska. Om det vore på det sättet, som herr Johan Bergman säger, att den, som köper denna sprit och sedan konsumerar den, får stå sitt kast, då kunde det vara någon reson i det, men herr Johan Bergman vet mycket väl, att de där, låt mig säga 100 kronorna i spritskatt, som det talats om under denna debatt, minska inte bara personens i fråga konsumtion av annat, utan även storleken av det belopp, som skulle gå till hans </w:t>
      </w:r>
      <w:r>
        <w:rPr>
          <w:b/>
        </w:rPr>
        <w:t>hustru²</w:t>
      </w:r>
      <w:r>
        <w:rPr>
          <w:b w:val="0"/>
        </w:rPr>
        <w:t xml:space="preserve"> och barn. Jag tror, att den synpunkten inte kan lämnas ur räkningen, när man har att överväga ett lands beskattning.</w:t>
        <w:br/>
        <w:br/>
        <w:t>Vad beträffar herr Velanders yttrande om bolagsbeskattningen och om den senkomna propositionen, är det ju en smula egendomligt att höra, att det inte föreligger någon utredning i fråga om bolagsbeskattningen, när vi ha fått hela den stora bolagsskatteberedningens förslag. Det enda, som skiljer detta förslag ifrån det nuvarande förslaget, är ju, att man nu har ansett sig helt enkelt vara tvungen att sätta det proportionella procenttalet högre. Men alla de principiella invändningar, som man kan rikta emot den proportionella skatten, finnas ju kvar, inte minst, såsom herr Velander säkert vet från utskottet, den invändningen, att det utgör en oskälig nedsättning av beskattningen för stora och rika bolag. Och det lönar sig inte mycket att komma och tala om med vilka procenttal skatten höjs på vissa håll. Om dessa procenttal gälla mycket små skattebelopp, får jag säga, att 200 och 300 procent på en liten skatt betyder ju inte någonting. Herr Velander menar nog inte, att om ett bolag redovisat en avkastning på bara 2 eller 3 procent och man höjer skatten till det dubbla eller det tredubbla, så visar detta, att det är en orimlig beskattning av detta bolag. Det beror på hur detta bolag redovisar sitt kapital. Det kan hända, att detta kapital borde nedskrivas på sådant sätt, att avkastningsprocenten bleve en helt annan.</w:t>
        <w:br/>
        <w:br/>
        <w:t>När herr Velander till sist återigen upprepar — och herr Hansén gjorde detsamma den där invändningen, som jag finner vara något för lättvindig, att man är överraskad över att ha fått den nya propositionen, så vill jag återigen ställa den frågan, vad man överhuvud taget har tänkt sig under det anbud, som ställdes av regeringen till de övriga partierna om en överflyttning av skatt på de mera bärkraftiga. Om man överhuvud taget har inlagt någon som helst mening i detta, och det har man tydligen gjort under den offentliga debatten, så måste det innebära, att man icke skulle taga ut dessa 30 miljoner</w:t>
        <w:br/>
        <w:br/>
        <w:t>Man kan sålunda gärna för mig kritisera hur mycket som helst, att överhuvud taget ett sådant anbud framkommit, att överhuvud taget en regering skulle kunna tänka sig att vädja till en folkrepresentation och säga: »Vi skola gå med på dessa kostnader, om ni vilja lägga dem på de mera bärkraftiga.» Men att sedan man resonerat om detta och funnit, att man kan diskutera själva tankegången, därefter anse det vara orimligt att praktiskt utforma ett förslag, det måste jag å min sida uttala min överraskning över.</w:t>
      </w:r>
    </w:p>
    <w:p>
      <w:pPr>
        <w:pStyle w:val="Heading2"/>
      </w:pPr>
      <w:r>
        <w:t>2. Johan Bergman (Liberala samlingspartiet, man)</w:t>
      </w:r>
    </w:p>
    <w:p>
      <w:r>
        <w:rPr>
          <w:b w:val="0"/>
        </w:rPr>
        <w:t>Jag vill med ett par ord svara på det, som herr finansministern sade i början av sitt sista anförande.</w:t>
        <w:br/>
        <w:br/>
        <w:t>Han riktade sig mot mig och syntes mena, att höjd skatt på ifrågavarande lyxvaror ej skulle inbringa något, därför att man därmed skulle sänka konsumtionen och alltså inte få in så mycket. Höjningen skulle sålunda ur den synpunkten vara ändamålslös. I Danmark hade man före införandet av den starka beskattningen en inkomst från alkoholkällorna av ungefär 16 miljoner, men efter densamma har man kommit upp i över 60 miljoner. Trots detta har man konstaterat en betydande och mycket nyttig sänkning av konsumtionen. Allt beror på hur hög beskattningen sättes.</w:t>
        <w:br/>
        <w:br/>
        <w:t xml:space="preserve">Nu sade finansministern, och det gjorde väl intryck på många av kammarens ledamöter, att det inte bara är den, som förtär de där konsumtionsvarorna, som drabbas av skattehöjningen, utan hans </w:t>
      </w:r>
      <w:r>
        <w:rPr>
          <w:b/>
        </w:rPr>
        <w:t>hustru²</w:t>
      </w:r>
      <w:r>
        <w:rPr>
          <w:b w:val="0"/>
        </w:rPr>
        <w:t xml:space="preserve"> och barn komma att lida av att dessa varor bli dyrare. Mannen knappar in på vad de skulle ha. Jag har nyss varit i Danmark och deltagit i en politisk debatt om skattefrågorna där, vari deltogo landets främsta experter ur olika partier. Denna fråga var då också under behandling. De synpunkter, som jag då, liksom nu, gjorde gällande, rönte icke motsägelse från något håll. Man var ganska ense om denna sak, och jag fick också reda på — detsamma har jag även inhämtat från England — att erfarenheterna där visa, att det är ofantligt många flera familjer, flera </w:t>
      </w:r>
      <w:r>
        <w:rPr>
          <w:b/>
        </w:rPr>
        <w:t>hustrur²</w:t>
      </w:r>
      <w:r>
        <w:rPr>
          <w:b w:val="0"/>
        </w:rPr>
        <w:t xml:space="preserve"> och barn, som genom denna höga beskattning ha räddats åt ett lyckligare familjeliv, än de </w:t>
      </w:r>
      <w:r>
        <w:rPr>
          <w:b/>
        </w:rPr>
        <w:t>hustrur²</w:t>
      </w:r>
      <w:r>
        <w:rPr>
          <w:b w:val="0"/>
        </w:rPr>
        <w:t xml:space="preserve"> och barn, som möjligen i vissa undantagsfall ha fått det sämre, därigenom att husbonden har varit ohjälpligt förlorad i det här avseendet. De flesta familjer av den kategori, som både finansministern och jag ömma för, ha fått det bättre på denna väg, än de haft det förut. Man minskar konsumtionen, men tack vare den starka skattehöjningen, ökas icke desto mindre statens inkomst. Statsrådet syntes alldeles förbise den engelska ölbeskattningen. Det argument, herr statsrådet anförde, inverkar således inte på mig, som något känner till verkningarna i detta avseende både i England och Danmark.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