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2094</w:t>
      </w:r>
    </w:p>
    <w:p>
      <w:r>
        <w:rPr>
          <w:b/>
        </w:rPr>
        <w:t xml:space="preserve">Datum: </w:t>
      </w:r>
      <w:r>
        <w:t>1937-03-15</w:t>
      </w:r>
    </w:p>
    <w:p>
      <w:r>
        <w:rPr>
          <w:b/>
        </w:rPr>
        <w:t xml:space="preserve">Kammare: </w:t>
      </w:r>
      <w:r>
        <w:t>Andra kammaren</w:t>
      </w:r>
    </w:p>
    <w:p>
      <w:r>
        <w:rPr>
          <w:b/>
        </w:rPr>
        <w:t xml:space="preserve">Antal yttranden: </w:t>
      </w:r>
      <w:r>
        <w:t>2</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Oscar Osberg (–, man)</w:t>
      </w:r>
    </w:p>
    <w:p>
      <w:r>
        <w:rPr>
          <w:b w:val="0"/>
        </w:rPr>
        <w:t>Herr talman! Jag erinrar mig väl vilken villervalla det var " ända till för några år sedan, när det gällde bankoutskottets utlåtanden. Det togs fram den ena motionen efter den andra, och det blev timslånga debatter om varje punkt. Då fann man, att det var fullkomligt ohållbart att hålla på så i längden. Bankoutskottet fick tillsägelse av många framstående ledamöter av riksdagen att koncentrera sig och att gå efter vissa principer, då det i annat fall vore rent ogörligt. Jag har i bankoutskottet hört, vilka grundliga utredningar som företagas i varje särskilt fall, och jag försäkrar herrarna, att ingen kan ha anledning tro, att inte vartenda fall blir mycket omständligt prövat. Det råder ingen ovilja mot dessa, för vilka begärd pension ej kan förordas, utan det är ju så, att man måste gå efter vissa uppgjorda regler. Man gör också vad man kan för att jämka, när det föreligger något gränsfall.</w:t>
        <w:br/>
        <w:br/>
        <w:t xml:space="preserve">Herr Gustavson i Västerås uppträdde här och yttrade, att han, då föregående beslut gick i den riktning det gjorde, gåve upp fältet. Jag vill inte ge något lovord åt det beslut, som fattades, och jag röstade också mot reservanternas förslag, men nog är det konstigt att sedan man haft en mening i utskottet, där man haft tillfälle att pröva ärendet i fråga, komma och säga, att eftersom ett visst beslut förut fattats, ger man upp. Det förstår väl </w:t>
      </w:r>
      <w:r>
        <w:rPr>
          <w:b/>
        </w:rPr>
        <w:t>damerna²</w:t>
      </w:r>
      <w:r>
        <w:rPr>
          <w:b w:val="0"/>
        </w:rPr>
        <w:t xml:space="preserve"> och herrarna, att skall man gå ut ifrån sådana utgångspunkter, blir det hela ogörligt. Då får man göra som herr Andersson i Falkenberg sade: låta bli att pröva de olika fallen utan taga det hela på en slump.</w:t>
        <w:br/>
        <w:br/>
        <w:t>Känsloskälen få väl inte ändå springa i väg med sunda förnuftet. Jag tänker många gånger, när jag lyssnar till herr Anderson i Råstock, när han håller på sina principer och talar för dem, att det verkligen är någonting att hålla sig till. Man får inte flaxa hit och dit utan måste taga saker och ting, som de böra tagas, och inte bedöma dem godtyckligt.</w:t>
        <w:br/>
        <w:br/>
        <w:t>Jag kan inte annat än yrka bifall till utskottets förslag. Jag tror, att kammaren gör rätt, om den följer utskottsbetänkandet, när det gäller dessa pensionsärenden, ty dessa äro väl och noggrant prövade.</w:t>
      </w:r>
    </w:p>
    <w:p>
      <w:pPr>
        <w:pStyle w:val="Heading2"/>
      </w:pPr>
      <w:r>
        <w:t>2. Anders Paulsen (Socialdemokraterna, man)</w:t>
      </w:r>
    </w:p>
    <w:p>
      <w:r>
        <w:rPr>
          <w:b w:val="0"/>
        </w:rPr>
        <w:t>Herr talman! När jag tillsammans med herr Lovén reserverade mig mot utskottets hemställan, gjorde jag det därför. att jag ansåg, att mannen i fråga var lika berättigad till pension som denne Sundström, som beviljades pension föregående år.</w:t>
        <w:br/>
        <w:br/>
        <w:t xml:space="preserve">Herr Gustavson i Västerås yttrade, att när det gällde </w:t>
      </w:r>
      <w:r>
        <w:rPr>
          <w:b/>
        </w:rPr>
        <w:t>lärarinnan³</w:t>
      </w:r>
      <w:r>
        <w:rPr>
          <w:b w:val="0"/>
        </w:rPr>
        <w:t xml:space="preserve"> Lämmerhirt under punkt 1 var man vekhjärtad, då man gick med på att bevilja </w:t>
      </w:r>
      <w:r>
        <w:rPr>
          <w:b/>
        </w:rPr>
        <w:t>henne²</w:t>
      </w:r>
      <w:r>
        <w:rPr>
          <w:b w:val="0"/>
        </w:rPr>
        <w:t xml:space="preserve"> pension, fastän </w:t>
      </w:r>
      <w:r>
        <w:rPr>
          <w:b/>
        </w:rPr>
        <w:t>hon²</w:t>
      </w:r>
      <w:r>
        <w:rPr>
          <w:b w:val="0"/>
        </w:rPr>
        <w:t xml:space="preserve"> inte uppfyllde fordringarna. Det var en person av den klassen det, menade han; när det vore fråga om en arbetare, bleve beslutet ett helt annat. Jag vill för min del inte tro, att kammarens ledamöter äro beskaffade på det sättet. Jag skulle tro, att deras hjärtan tala även i de fall, då det gäller arbetare. Och vore det så, att det vore en fulltalig kammare, som finge del av hur saken ligger till, är jag fullkomligt övertygad om att kammaren så gott som enhälligt följde reservanterna. Jag kan inte tänka mig, att man skulle döma på annat sätt än att denne man bör ha pension likaväl som Sundström 1 fjol.</w:t>
        <w:br/>
        <w:br/>
        <w:t>Herr talman, jag ber att få yrka bifall till den vid utskottets utlåtande fogade reservationen.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2094</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