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799</w:t>
      </w:r>
    </w:p>
    <w:p>
      <w:r>
        <w:rPr>
          <w:b/>
        </w:rPr>
        <w:t xml:space="preserve">Datum: </w:t>
      </w:r>
      <w:r>
        <w:t>1937-05-19</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 man)</w:t>
      </w:r>
    </w:p>
    <w:p>
      <w:r>
        <w:rPr>
          <w:b w:val="0"/>
        </w:rPr>
        <w:t>Herr talman! Även jag ber att få instämma i det slut, vartill utskottet kommit.</w:t>
        <w:br/>
        <w:br/>
        <w:t>Det är ju klart, att någon fred inte kan åstadkommas annat än genom samförstånd, och samförståndet måste då taga sin början hos de härskande staterna. För mig ter det sig alltid så, att om någonstädes allting går i lås och man inte behöver frukta, att det skall bli en ogynnsam utveckling, då kan man hålla sig borta. Men ju oredigare situationen är, ju större faror en institution som folkförbundet är utsatt för genom olika förvecklingar, desto mera bör man stanna och inte gå därifrån. Att försöka bilda ett nytt folkförbund med förkastande av det gamla kan svårligen leda till något förnuftigt resultat inom rimlig tid. Därför är jag fullständigt ense med utskottet om det slut, vartill utskottet kommit.</w:t>
        <w:br/>
        <w:br/>
        <w:t>Beträffande motiveringen däremot kan jag inte finna, att den — såsom här blivit sagt — är tillräcklig eller uttömmande. Jag skall be att i det avseendet få hänvisa till den uppfattning, som närmare utvecklats av mig i fråga om en omvandling av folkförbundet till idéer och organisation — vilket i dessa tider inte bör kunna anses vara någon främmande och allra minst verklighetsfrämmande angelägenhet, såsom man dock i vår bortkommenhet har ansett sig böra kalla det.</w:t>
        <w:br/>
        <w:br/>
        <w:t>Jag ber att få särskilt uttala det önskemålet från pacifistiska håll här i landet till utrikesministern, att han måtte något närmare undersöka hållbarheten av der s. k. kollektiva säkerheten. Den kollektiva säkerheten består ju i att stormakter och småstater skola ena sig om fredsframryckningens stora linjer. Men är det möjligt att göra detta med den olika inställning, som dessa makter ha i fråga om rättens förverkligande? Man kan ju inte begära för mycket av en stormakt, med åtskillig orätt i påsen. Den kan ej intressera sig även effektivt för en effektiv rättsordning och de små staternas representanter med di-</w:t>
        <w:br/>
        <w:br/>
        <w:t>Dit hör också frågan, huruvida de militära och de ekonomiska sanktionerna inte innebära ett misstag. De ha ju slagit fel bägge två, de förstnämnda genom att inte begagnas vid det enda tillfälle, där de verkligen skulle ha haft någon verkan — vilket jag inte alls vill klandra — och de senare likaså.</w:t>
        <w:br/>
        <w:br/>
        <w:t>Bland uttalandena i motiveringen har jag särskilt fäst mig vid en sak, som Jag absolut inte tror, att pacifister i vidsträckt mening kunna instämma i. Det gäller de upprepade påståenden, som utrikesministrarna i Norden och även här utrikesutskottet gjort, att det är »ohållbart, att vissa artiklar i förbundsakten, framför allt artikeln om minskning av rustningarna, förbliva döda bokstäver, medan i motsats härtill andra artiklar tillämpas». Är det inte ett verklighetsfrämmande åskådningssätt? Hur skall man kunna begära, att en minskning av rustningarna skall kunna ha någon som helst aktualitet, så länge man bibehåller rustningarnas grundorsaker? Förbundet har ju också av naturliga skäl totalt misslyckats i långvariga bemödanden på detta område och medlemmarna däribland även Sverige med Undén och Sandler i spetsen befinna sig i full upprustning i skarp motsägelse mot deras förenämnda »framför allt».</w:t>
        <w:br/>
        <w:br/>
        <w:t>Och kan det, såsom utrikesministern nyss sade, i övrigt förväntas, att det nuvarande folkförbundet skall kunna bli ett »effektivt fredsinstrument», med bibehållande av utrikesutskottets anvisningar, om vad man inte skall sysselsätta sig med. Det gäller ju här de allra första och främsta förutsättningarna för att kunna tala om möjligheten att skapa ett effektivt fredsinstrument. Är det inte verklighetsfrämmande att fälla ett sådant påstående? TI alla fall är det mera verklighetsfrämmande än mina hänvisningar till de djupgående orsakerna, som utskottet däremot är enigt om att lägga på hyllan.</w:t>
        <w:br/>
        <w:br/>
        <w:t>Härmed sammanhänger också en annan sak, nämligen frågan om ett nordiskt försvarsförbund. Vi ha ju nu i fredsfrågan anslutit oss till stormakternas uppfattning, att man måste upprusta, och det är väl för att försvara oss mot dem, som vi särskilt rusta oss. De pacifistiska linjerna bordläggas däremot tills vidare åtminstone, och huvudvikten lägges på vårt försvar och vår upprustning. När vi göra på det viset, för detta ju lätt med sig den tanken, att vi också skola se till, att'denna upprustning blir så effektiv som möjligt, och för den skull bör man sammansluta de nordiska länderna till ett försvarsförbund. På så vis skulle denna upprustning göras effektivare, och på samma gång skulle vi göra oss till en liten stormakt, som på något sätt skulle kunna lägga även sitt ord i vågskålen vid de andra stormakternas spel.</w:t>
        <w:br/>
        <w:br/>
        <w:t xml:space="preserve">Är det inte den allra största fara för Norden att på det sättet utbjuda sig att bli en kvantitet att räkna med i den ena eller andra stormaktsorganisationens kamp om makten och landvinningarna? Och kunna vi för övrigt någonsin tro, att alla de nordiska länderna äro färdiga att offra liv och blod i Sönderiylland för att bevara Nordens gräns mot söder, eller borta vid Memel för att bevara Nordens gräns på den sydöstra kanten, eller vid </w:t>
      </w:r>
      <w:r>
        <w:rPr>
          <w:b/>
        </w:rPr>
        <w:t>Systerbäck²</w:t>
      </w:r>
      <w:r>
        <w:rPr>
          <w:b w:val="0"/>
        </w:rPr>
        <w:t xml:space="preserve"> för att bevara Finlands integritet? Detta tror jag är overkligheter. Man får inte tro allt för visst att man kan samla folket om sådant.</w:t>
        <w:br/>
        <w:br/>
        <w:t>Därför synes mig det vara en befrielse, att Stauning tagit avstånd från denna förvirring i försvarsvännernas propaganda. Han har ju också vunnit bifall såvitt jag förstår av norska pressen för sitt framträdande i Oslo. Den svenska regeringens ställning är inte bekant, och det är ju mera bekymmersamt och svårt för den att framträda offentligt med densamma. Den har kanske inte heller någon alldeles säkert utformad ståndpunkt. Vi ville dock gärna ha ett besked, så att den fråga kunde avföras från dagordningen, som</w:t>
        <w:br/>
        <w:br/>
        <w:t>Om Sveriges utträde ur Nationernas förbund. (Forts.) kallas det nordiska försvarsförbundet. Att Finland med all makt önskar ett sådant förbund och att de tre nordiska länderna Estland, Lettland och Litauen också önska det med all makt, är ju ganska klart, men de tre sista ländernas diplomatiska beskickningar medgiva, att vi inte kunna vara färdiga att i förväg 1 samlad trupp utlova ett gemensamt försvarsförbund för alla förhållanden. Ett avgörande i sådant hänseende bör i farans stund endast kunna ske från fall till fall såsom med Englands och Amerikas inträde i det stora kriget. För övrigt vad är för Norden nu minst farligt, en upprustning eller att svara på stormakternas upprustning med en nedrustning?</w:t>
        <w:br/>
        <w:br/>
        <w:t>Alltså hoppas jag, att den svenska regeringen på något sätt skall ge Norden besked också om sin inställning 1 fråga om den nordiska försvarsalliansen.</w:t>
      </w:r>
    </w:p>
    <w:p>
      <w:pPr>
        <w:pStyle w:val="Heading2"/>
      </w:pPr>
      <w:r>
        <w:t>2. Olof Olsson (Socialdemokraterna, man)</w:t>
      </w:r>
    </w:p>
    <w:p>
      <w:r>
        <w:rPr>
          <w:b w:val="0"/>
        </w:rPr>
        <w:t>Herr talman! Med avseende å föredragningen av statsutskottets utlåtande nr 140 får jag hemställa, att detsamma må företagas till avgörande punktvis, dock att i samband med punkten A 2 skall behandlas punkten A 6 i vad den avser anhållan om utredning och förslag till viss jämkning i åligganden för lärare vid folkskolor, samt att i samband med punkten A 4 skall behandlas punkten A 6 i återstående delar.</w:t>
      </w:r>
    </w:p>
    <w:p>
      <w:pPr>
        <w:pStyle w:val="Heading2"/>
      </w:pPr>
      <w:r>
        <w:t>3. Arthur Engberg (Socialdemokraterna, man)</w:t>
      </w:r>
    </w:p>
    <w:p>
      <w:r>
        <w:rPr>
          <w:b w:val="0"/>
        </w:rPr>
        <w:t>Herr talman! Den lönereglering, som härmed föreligger på riksdagens bord, har ju kommit mycket buller åstad. Jag vore frestad att säga, att under min riksdagsmannabana har jag icke upplevat en lönereglering, kring vilken det har stått så mycken diskussion, kring vilken det har skrivits och talats så mycket. Jag skall heller icke, herr talman, ett ögonblick förneka, att i en sådan fråga det finns utrymme för mycket skiftande meningar. Det är för det första naturligt, att den stora och betydelsefulla kår, som närmast beröres, skall ha sökt med all kraft föra sina synpunkter till torgs och verka för sina intressen. Därom är ingenting att säga, det är mänskligt. Men å andra sidan är det också naturligt, att i en sådan fråga med den infällning i och sammansmältning med den svenska bygden och dess liv som den svenska folkskolan har, det jämväl i riksdagen skall finnas anknytningspunkter för en hel rad meningar och intressen.</w:t>
        <w:br/>
        <w:br/>
        <w:t>Jag skulle först vilja tacka statsutskottet för att det liksom hyfsat ekvationen, sörjt för att de väsentliga tingen förts fram i blickpunkten och att de oväsentliga förts undan. Det är ingen överdrift, herr talman, att säga, att i statsutskottets utlåtande några saker slutgiltigt ställts utanför stridslinjen. Dit räknar jag alla krav, som på ett tidigare stadium framställts på en lönesättning för folkskollärarkåren utöver den sjuttonde lönegraden som maximigrad. Dit räknar jag vidare förnekandet av det nödvändiga sambandet mellan lärarens faktiskt utförda arbetsprestation och hans lön. Man har vunnit principiell enighet i statsutskottet på denna punkt. Därmed har från alla läger inom statsutskottet erkänts, att folkskollärarkårens avlöning varken kan eller får skiljas från spörsmålen om lästidens, undervisningens, tjänstgöringstidens, den faktiskt utkrävda tjänstgöringsskyldighetens omfattning.</w:t>
        <w:br/>
        <w:br/>
        <w:t>Även högerreservationen har på denna punkt i princip ställt sig på den plattform, där den kungliga propositionen befinner sig, i det den nämligen erkänt, att det är principiellt riktigt, att tjänstgöringens reglering måste utgöra underlaget för lönens reglering. Skillnaden — till vilken j jag sedan återkommer — ligger i utformningen av principen. Den ligger inte i principen själv.</w:t>
        <w:br/>
        <w:br/>
        <w:t>Jag önskar vidare, herr talman, fästa uppmärksamheten på att statsutskottet har till rimliga proportioner reducerat det som sagts och skrivits om att småskollärarinnekåren genom det föreliggande förslaget skulle ha behandlats på ett orättvist sätt. Det material, statsutskottet lagt fram och som närmast finnes i en tabell, fogad till utskottets utlåtande, beträffande relationen emellan småskollärarinnornas föreslagna löner och de manliga lärarnas löner, utvisar till fullo, hur ofantligt överdrivet det talet har varit, att småskollärarinnekåren skulle ha särskilt missgynnats. Jag tror, att det har varit till nytta, att detta material har framlagts.</w:t>
        <w:br/>
        <w:br/>
        <w:t>Vidare har statsutskottet — och därför skall jag också be att få framföra min tacksamhet — företagit vissa smärre förbättringar av Kungl. Maj:ts proposition. Dit räknar jag exempelvis den förbättring, som består i att man har övergått till fixa tider i stället för variabla, när det gällt den tjänstgöringstid, som skall läggas till grund för den differentierade lönen.</w:t>
        <w:br/>
        <w:br/>
        <w:t>Emellertid har jag den uppfattningen, att det kan vara till nytta för riksdagen — och här närmast för första kammaren — att få taga del av de förmåner, de rena fördelar i ekonomiskt avseende, som vinnas genom statsutskottets förslag och Kungl. Maj:ts förslag i jämförelse med den nuvarande ordningen.</w:t>
        <w:br/>
        <w:br/>
        <w:t>Som bekant innebär Kungl. Maj:ts och utskottets förslag, att vi koppla in folkskolans lärarkår i den civila lönestaten och dess gällande ordning. Det betyder då också, att i och med denna inkoppling får denna kår den rad fördelar, som automatiskt följa av att den infogas och inlemmas i det för civilstaten gällande lönesystemet. Eftersom detta inte närmare har utvecklats av statsutskottet och redovisats närmare, har jag funnit det önskvärt att för kammaren meddela de punkter, där den kår, vars lönereglering det nu gäller, i kraft av själva inkopplingen i det nya lönesystemet kommer att göra avsevärda vinster. Jag har inom departementet låtit utarbeta en analys av detta material och skall be att få punkt för punkt i korthet redogöra för resultatet.</w:t>
        <w:br/>
        <w:br/>
        <w:t>Den nuvarande ersättningen exempelvis för övertidsläsning, som för varje månad utgör en åttondel av den kontanta minimilönen, utökas till cirka en åttondel av hela lönen samt inarbetas i den fasta lönen och blir sålunda pensionsbildande. Enligt bestämmelserna i 8 $ i reglementsförslaget kan ordinarie lärare på vissa villkor få bibehålla denna ersättning, även om vederbörande skoldistrikt minskar den årliga lästiden.</w:t>
        <w:br/>
        <w:br/>
        <w:t>För det andra kommer enligt statsutskottets förslag, om detta blir riksdagens beslut, att enligt 12 $ utgå kallortstillägg, beräknat till en årskostnad av 750,000 kronor, i stället för de nuvarande s. k. lappmarksoch finnbygdstilläggen, som beräknas uppgå till ett årligt belopp av sammanlagt 250,000 kronor. Här har ju statsutskottet begärt särskild utredning om bibehållande helt eller delvis av finnbygdstilläggen även efter löneregleringens genomförande.</w:t>
        <w:br/>
        <w:br/>
        <w:t>För det tredje kommer ordinarie lärare enligt det nya systemet att äga att uppbära oavkortad lön jämte i förekommande fall kallortstillägg även för den tid, han efter i varje särskilt fall av Kungl. Maj:t lämnat medgivande använt för att utom sin tjänstgöringsort göra iakttagelser eller idka studier, som på ett påtagligt sätt kunna tjäna undervisningsväsendets intresse. Det är onödigt att närmare understryka, hur betydelsefull denna förmån för lärarkåren blir. Unga och vetgiriga lärare, som önska vidga sina insikter och sina vyer, få här ett direkt handtag, betydelsefullt för deras utveckling och gärning.</w:t>
        <w:br/>
        <w:br/>
        <w:t>För det fjärde komma här förmånligare bestämmelser att införas i fråga om avlöning vid olycksfall i tjänst. Det blir oavkortad lön under ledighet på grund av sjukdom till följd av olycksfall, under det att för närvarande samma avdrag föreskrives där som vid annan sjukdom.</w:t>
        <w:br/>
        <w:br/>
        <w:t>För det femte ges rätt till ledighet under en månad mot vanligt sjukavdrag för vårdande av svag hälsa, om ledigheten tages i omedelbart sammanhang med föregående tjänstledighet på grund av sjukdom och av vederbörande läkare förklaras erforderlig för återvinnande av full tjänstduglighet.</w:t>
        <w:br/>
        <w:br/>
        <w:t>För det sjätte ges ledighet mot vanligt sjukavdrag under högst åtta dagar för enskild angelägenhet, som av vederbörande folkskolinspektör befinnes vara av särskilt ömmande beskaffenhet eller där eljest synnerliga skäl föreligga.</w:t>
        <w:br/>
        <w:br/>
        <w:t>för det sjunde kommer ordinarie lärare att under ledighet för fullgörande av vederbörande såsom reservofficer eller värnpliktig åliggande militärtjänstgöring få behålla hälften av honom eljest tillkommande löneförmåner, och extra ordinarie lärare uppbär ersättning med 2 kronor per dag.</w:t>
        <w:br/>
        <w:br/>
        <w:t>För det åttonde kommer begravningshjälp att utgå till dödsbo efter lärare med en tiondel av hans oavkortade årslön vid tiden för dödsfallet, dock högst 500 kronor för ordinarie lärare och högst 400 kronor för extra ordinarie lärare.</w:t>
        <w:br/>
        <w:br/>
        <w:t>För det nionde erhåller icke-ordinarie lärare — såväl extraordinarie som vikarierande — rätt till avlöningsförhöjningar efter tre, sex, nio, tolv och femton års tjänstgöring. Härigenom kan slutlönen för icke-ordinarie lärare vid folkskolan uppgå till 1,200 å 1,700 kronor mer än begynnelselönen och för lärare vid småskolan till 660 å 900 kronor mer än begynnelselönen.</w:t>
        <w:br/>
        <w:br/>
        <w:t xml:space="preserve">Kom vidare ihåg, att för närvarande åtnjuta dessa lärare icke någon lönetursrätt, utan endast ett av försämrade befordringsförhållanden motiverat provisoriskt lönetillägg efter fem års tjänstgöring å 300 kronor för manlig folkskollärare, 200 kronor för </w:t>
      </w:r>
      <w:r>
        <w:rPr>
          <w:b/>
        </w:rPr>
        <w:t>kvinnlig¹</w:t>
      </w:r>
      <w:r>
        <w:rPr>
          <w:b w:val="0"/>
        </w:rPr>
        <w:t xml:space="preserve"> och 150 kronor för lärare vid småskola!</w:t>
        <w:br/>
        <w:br/>
        <w:t>Lägg vidare märke till att genom inkopplingen i det nya lönesystemet få lärarna rätt till anslutning till statens intressekontor på samma villkor som statens övriga befattningshavare!</w:t>
        <w:br/>
        <w:br/>
        <w:t xml:space="preserve">Det kanske betydelsefullaste ligger dock i den förstärkning av pensionsunderlaget, som det nya systemet kommer att innebära — en synpunkt, som virvlats bort i den allmänna debatten. För närvarande är pensionsunderlaget för manlig lärare i folkskolan beräknat till 2,544 kronor med en pensionsavgift av 75 kronor, för </w:t>
      </w:r>
      <w:r>
        <w:rPr>
          <w:b/>
        </w:rPr>
        <w:t>kvinnlig¹</w:t>
      </w:r>
      <w:r>
        <w:rPr>
          <w:b w:val="0"/>
        </w:rPr>
        <w:t xml:space="preserve"> är det 2,112 med en pensionsavgift av 62:50. Men efter genomförande av statsutskottets förslag kommer för manliga lärare i B 15 pensionsunderlaget att beräknas till 3,036 kronor med 129 kronor som pensionsavgift och för </w:t>
      </w:r>
      <w:r>
        <w:rPr>
          <w:b/>
        </w:rPr>
        <w:t>kvinnliga¹</w:t>
      </w:r>
      <w:r>
        <w:rPr>
          <w:b w:val="0"/>
        </w:rPr>
        <w:t xml:space="preserve"> till 2,844 kronor med samma pensionsavgift, och i B 17 blir pensionsunderlaget för manliga 3,444 kronor och för </w:t>
      </w:r>
      <w:r>
        <w:rPr>
          <w:b/>
        </w:rPr>
        <w:t>kvinnliga¹</w:t>
      </w:r>
      <w:r>
        <w:rPr>
          <w:b w:val="0"/>
        </w:rPr>
        <w:t xml:space="preserve"> 3,240 kronor, för bägge med en pensionsavgift av 156 kronor. Går jag till småskollärarinnornas pensionsunderlag, finner jag, att detta nu beräknas till 1,440 kronor med en pensionsavgift av 41:25. Efter genomförandet av statsutskottets och Kungl. Maj:ts förslag blir det för en </w:t>
      </w:r>
      <w:r>
        <w:rPr>
          <w:b/>
        </w:rPr>
        <w:t>lärarinna³</w:t>
      </w:r>
      <w:r>
        <w:rPr>
          <w:b w:val="0"/>
        </w:rPr>
        <w:t xml:space="preserve"> i B 7 1,716 kronor i pensionsunderlag och för en </w:t>
      </w:r>
      <w:r>
        <w:rPr>
          <w:b/>
        </w:rPr>
        <w:t>lärarinna³</w:t>
      </w:r>
      <w:r>
        <w:rPr>
          <w:b w:val="0"/>
        </w:rPr>
        <w:t xml:space="preserve"> i B 9 1,920 kronor med respektive 57 och 69 kronor i avgift.</w:t>
        <w:br/>
        <w:br/>
        <w:t>Jag har velat andraga dessa siffror, herr talman, därför att de tjäna till att belysa, att de fördelar för lärarkåren, som vinnas genom det nya lönesystemet, inte bara utgöras av en förbättrad löneställning, utan också av andra betydelsefulla förmåner, som vinnas i kraft av inkopplingen i det nya lönesystemet.</w:t>
        <w:br/>
        <w:br/>
        <w:t>Emellertid har ju debatten i denna fråga närmast kommit att röra sig kring tre huvudpunkter. Den måhända mest omstridda, om jag ser på ställningen i statsutskottet, är ju frågan om likalönsprincipen. Vi befinna oss, herr talman, i det stycket i vårt land i en ganska egendomlig situation. Medan i såväl Norge som Danmark likalönsprincipen för länge sedan är genomförd för lärarnas vidkommande, så strida vi om den än i dag. När jag för någon tid sedan var nere i Danmark och träffade min danske regeringskollega, som inom parentes sagt är jordbrukare, så föll talet på den danska löneregleringen av år 1919. Han talade då om att utan någon som helst meningsskiljaktighet mellan olika läger hade man genomfört likalönsprincipen, och han satte upp ett förvånat ansikte över att vi inte hade genomfört den i Sverige. Jag fäster särskilt uppmärksamheten därå, att mig veterligt är folkskolan icke i något nordiskt land så inbäddad i särskilt bondebefolkningens omvårdnad och intresse som just i Danmark. Den danska folkskolan är den danska bondeklassens ögonsten, och den danska bondeklassen har ägnat denna folkskola en omvårdnad, som är storartad. Det är i kraft av den danska bondeklassens in-</w:t>
        <w:br/>
        <w:br/>
        <w:t xml:space="preserve">Jag har svårt att förstå de människor, som mena, att när det föreligger samma utbildning, samma utbildningskostnader, samma krav på tjänstgöring, samma ansvar att bära både åt det ena och det andra hållet, lönen skall sättas olika. Tag två syskon, en </w:t>
      </w:r>
      <w:r>
        <w:rPr>
          <w:b/>
        </w:rPr>
        <w:t>flicka²</w:t>
      </w:r>
      <w:r>
        <w:rPr>
          <w:b w:val="0"/>
        </w:rPr>
        <w:t xml:space="preserve"> och en pojke, som gå igenom seminariet! De skola bli lärare båda två. De låna kanske pengar båda två, de få samma skuldsättning. De komma ut som lärare, få sin befattning, ha att utföra exakt samma arbete, bära exakt samma ansvar och bära samma bördor, kraven äro lika stora på dem båda. Men här skulle det enligt högerreservanternas mening — ty det är dock det, som ligger bakom — vara riktigt, att den </w:t>
      </w:r>
      <w:r>
        <w:rPr>
          <w:b/>
        </w:rPr>
        <w:t>kvinnliga¹</w:t>
      </w:r>
      <w:r>
        <w:rPr>
          <w:b w:val="0"/>
        </w:rPr>
        <w:t xml:space="preserve"> arbetskraften placeras två lönegrader lägre än den manliga. Eller låt oss gå till ett fall, som vi naturligtvis komma till i ett senare sammanhang: löneregleringen för de allmänna läroverken! Tag två syskon, en student och en </w:t>
      </w:r>
      <w:r>
        <w:rPr>
          <w:b/>
        </w:rPr>
        <w:t>studentska³</w:t>
      </w:r>
      <w:r>
        <w:rPr>
          <w:b w:val="0"/>
        </w:rPr>
        <w:t xml:space="preserve">, som göra samma studier, åsamka sig samma skulder, driva studierna fram kanske till lektorskompetens och gå till läroverken som lärare! Den ena skall då betalas lägre än den andre. Varför? Månne därför att det skulle vara någon skillnad i insatsen? Nej, bara därför att den ena är </w:t>
      </w:r>
      <w:r>
        <w:rPr>
          <w:b/>
        </w:rPr>
        <w:t>kvinna¹</w:t>
      </w:r>
      <w:r>
        <w:rPr>
          <w:b w:val="0"/>
        </w:rPr>
        <w:t xml:space="preserve"> och den andre är man, skall den ena belönas olika mot den andre.</w:t>
        <w:br/>
        <w:br/>
        <w:t xml:space="preserve">Jag är inte någon feminist, herr talman, men så mycket måste jag säga, att det är den orimligaste orättvisa att bedöma arbetsprestationer på detta sätt. Den, som närmare satt sig in i och vet, vad den </w:t>
      </w:r>
      <w:r>
        <w:rPr>
          <w:b/>
        </w:rPr>
        <w:t>kvinnliga¹</w:t>
      </w:r>
      <w:r>
        <w:rPr>
          <w:b w:val="0"/>
        </w:rPr>
        <w:t xml:space="preserve"> arbetskraften betyder i den svenska folkskolan, vad den betyder i de svenska läroverken efter 1927 års reform, den, som sökt göra sig en föreställning om arbetsprestationerna och deras värde, den måste säga sig, att tiden är inne för att avskriva hela denna vidskepliga åsikt, att den </w:t>
      </w:r>
      <w:r>
        <w:rPr>
          <w:b/>
        </w:rPr>
        <w:t>kvinnliga¹</w:t>
      </w:r>
      <w:r>
        <w:rPr>
          <w:b w:val="0"/>
        </w:rPr>
        <w:t xml:space="preserve"> arbetskraften i och för sig skulle vara av sämre valör, när det gäller undervisningen, än den manliga. Jag har själv, herr talman, åtskilliga gånger vid våra samläroverk och våra statliga </w:t>
      </w:r>
      <w:r>
        <w:rPr>
          <w:b/>
        </w:rPr>
        <w:t>flickläroverk²</w:t>
      </w:r>
      <w:r>
        <w:rPr>
          <w:b w:val="0"/>
        </w:rPr>
        <w:t xml:space="preserve"> åhört lektioner i olika ämnen för att bilda mig en mening, och jag vågar försäkra, att de, som hävda den uppfattningen, att våra </w:t>
      </w:r>
      <w:r>
        <w:rPr>
          <w:b/>
        </w:rPr>
        <w:t>lärarinnors³</w:t>
      </w:r>
      <w:r>
        <w:rPr>
          <w:b w:val="0"/>
        </w:rPr>
        <w:t xml:space="preserve"> insats i detta arbete på något sätt skulle vara sämre än männens, taga storligen miste. Jag har i studentexamen hört </w:t>
      </w:r>
      <w:r>
        <w:rPr>
          <w:b/>
        </w:rPr>
        <w:t>kvinnliga¹</w:t>
      </w:r>
      <w:r>
        <w:rPr>
          <w:b w:val="0"/>
        </w:rPr>
        <w:t xml:space="preserve"> lärare hålla förhör, som enligt min mening ha stått på en nivå till vilken ingen manlig lärare, som jag åhört, kommit upp. Och jag frågar mig: Är det rim och reson, att människor, som utföra samma arbetsprestation åt det allmänna, skola betalas olika, därför att vår herre har gjort den ena till man och den andra till </w:t>
      </w:r>
      <w:r>
        <w:rPr>
          <w:b/>
        </w:rPr>
        <w:t>kvinna¹</w:t>
      </w:r>
      <w:r>
        <w:rPr>
          <w:b w:val="0"/>
        </w:rPr>
        <w:t>? Det förefaller mig, som om den svenska riksdagen på skolväsendets område borde vara färdig att göra slut på slik oefterrättlighet.</w:t>
        <w:br/>
        <w:br/>
        <w:t xml:space="preserve">Det är de obotfärdigas förhinder, när man här från högerhåll hänvisar till 1925. Ja, det hampade sig så, herr talman, att en motivering bortföll genom olika beslut i de olika kamrarna, och det har blivit ett spekulationsobjekt för statsvetenskapens heroer, både med och utan diplom, och det har utvecklats oerhört mycket skarpsinne för att för det första utröna, om riksdagen har menat något alls, och för det andra — därest den till äventyrs skulle ha menat något — vad den då händelsevis kunde ha menat. Månne icke det där kan överlåtas åt de statsvetenskapliga seminarierna i Uppsala och Lund? Jag tycker. att en riksdag, som arbetar praktiskt, kan ha fog att säga sig: Vilka outgrundliga meningar, som på grund av den olika utgången i kamrarna än månde ha legat bakom den motivlösa framställningen från riksdagen 1925, så ha väl ändå vi som praktiska karlar att taga verkligheten sådan den är och följaktligen, när vi nu inkoppla lärarkåren i ett lönesystem, som icke räknar med manliga och </w:t>
      </w:r>
      <w:r>
        <w:rPr>
          <w:b/>
        </w:rPr>
        <w:t>kvinnliga¹</w:t>
      </w:r>
      <w:r>
        <w:rPr>
          <w:b w:val="0"/>
        </w:rPr>
        <w:t xml:space="preserve"> löner, upphöra att vidmakthålla denna åtskillnad? Jag</w:t>
        <w:br/>
        <w:br/>
        <w:t xml:space="preserve">Går jag till folkskolan och dess inre arbete, torde det vara fullt intygat, att </w:t>
      </w:r>
      <w:r>
        <w:rPr>
          <w:b/>
        </w:rPr>
        <w:t>lärarinnornas³</w:t>
      </w:r>
      <w:r>
        <w:rPr>
          <w:b w:val="0"/>
        </w:rPr>
        <w:t xml:space="preserve"> undervisningsresultat är lika gott och i många fall bättre än männens. Liksom naturligtvis tvärtom. De, som under sin skoltid haft bara med manliga lärare att göra, kunna kanske lockas till tron, att dessa sköta undervisningen bäst. De ha ingen erfarenhet av något annat. Men när erfarenheten är vunnen, både i folkskolorna och i läroverken, att den </w:t>
      </w:r>
      <w:r>
        <w:rPr>
          <w:b/>
        </w:rPr>
        <w:t>kvinnliga¹</w:t>
      </w:r>
      <w:r>
        <w:rPr>
          <w:b w:val="0"/>
        </w:rPr>
        <w:t xml:space="preserve"> arbetskraften är minst lika ypperlig, minst lika välkvalificerad, och att plikttroheten icke är det bittersta mindre, att ambitionen snarare mången gång hos </w:t>
      </w:r>
      <w:r>
        <w:rPr>
          <w:b/>
        </w:rPr>
        <w:t>kvinnorna¹</w:t>
      </w:r>
      <w:r>
        <w:rPr>
          <w:b w:val="0"/>
        </w:rPr>
        <w:t xml:space="preserve"> kan vara något större än hos oss män — det lär nog vara ett </w:t>
      </w:r>
      <w:r>
        <w:rPr>
          <w:b/>
        </w:rPr>
        <w:t>kvinnligt¹</w:t>
      </w:r>
      <w:r>
        <w:rPr>
          <w:b w:val="0"/>
        </w:rPr>
        <w:t xml:space="preserve"> drag att ha större ambition; man märker det redan hos </w:t>
      </w:r>
      <w:r>
        <w:rPr>
          <w:b/>
        </w:rPr>
        <w:t>flickorna²</w:t>
      </w:r>
      <w:r>
        <w:rPr>
          <w:b w:val="0"/>
        </w:rPr>
        <w:t xml:space="preserve"> i skolan, och det fortlever hos dem även som vuxna </w:t>
      </w:r>
      <w:r>
        <w:rPr>
          <w:b/>
        </w:rPr>
        <w:t>kvinnor¹</w:t>
      </w:r>
      <w:r>
        <w:rPr>
          <w:b w:val="0"/>
        </w:rPr>
        <w:t xml:space="preserve"> 1 lärarinneställning — borde vi icke inför allt detta vara färdiga att acceptera likalönsprincipen? Den är en rättvis princip, och den är en nödvändig princip i ett samhälle, som för länge sedan har infört den allmänna och lika rösträtten, ett samhälle, där man i den civila förvaltningen icke längre räknar med manliga löner och </w:t>
      </w:r>
      <w:r>
        <w:rPr>
          <w:b/>
        </w:rPr>
        <w:t>kvinnliga¹</w:t>
      </w:r>
      <w:r>
        <w:rPr>
          <w:b w:val="0"/>
        </w:rPr>
        <w:t xml:space="preserve"> löner. Jag vill icke påstå, att de lagstiftare, som genomförde detta, därför skulle kunna förliknas vid dem, som Schiller tänkte på, när han utbrast: »Und jene himmlischen Gestalten, sie fragen nicht nach Mann und Weib!» (»Och dessa himmelska gestalter, de fråga ej om det är man eller </w:t>
      </w:r>
      <w:r>
        <w:rPr>
          <w:b/>
        </w:rPr>
        <w:t>kvinna¹</w:t>
      </w:r>
      <w:r>
        <w:rPr>
          <w:b w:val="0"/>
        </w:rPr>
        <w:t xml:space="preserve">»), utan jag tänker bara, att en nutida riksdag, såsom vår riksdag, borde, när den handlägger denna fråga, beakta, att erfarenheten till dato har givit vid handen, att intet rimligt skäl finnes att vid lärarkårens inkoppling i det nya lönesystemet förse anordningen med en spärrhake, som innebär, att </w:t>
      </w:r>
      <w:r>
        <w:rPr>
          <w:b/>
        </w:rPr>
        <w:t>kvinnorna¹</w:t>
      </w:r>
      <w:r>
        <w:rPr>
          <w:b w:val="0"/>
        </w:rPr>
        <w:t xml:space="preserve"> sättas i något slags strykklass.</w:t>
        <w:br/>
        <w:br/>
        <w:t xml:space="preserve">Jag vet — och det har skymtat fram under debatten — att det existerar en mening, som säger så här: Ja, det kommer att gå ut över lärarinnekåren. Den utsätter sig för risken att reduceras, säger man, därför att människan är en gång sådan, då </w:t>
      </w:r>
      <w:r>
        <w:rPr>
          <w:b/>
        </w:rPr>
        <w:t>hon²</w:t>
      </w:r>
      <w:r>
        <w:rPr>
          <w:b w:val="0"/>
        </w:rPr>
        <w:t xml:space="preserve"> ställes i valet mellan </w:t>
      </w:r>
      <w:r>
        <w:rPr>
          <w:b/>
        </w:rPr>
        <w:t>kvinnlig¹</w:t>
      </w:r>
      <w:r>
        <w:rPr>
          <w:b w:val="0"/>
        </w:rPr>
        <w:t xml:space="preserve"> och manlig arbetskraft och har att bestämma sig, att </w:t>
      </w:r>
      <w:r>
        <w:rPr>
          <w:b/>
        </w:rPr>
        <w:t>hon²</w:t>
      </w:r>
      <w:r>
        <w:rPr>
          <w:b w:val="0"/>
        </w:rPr>
        <w:t xml:space="preserve"> föredrager den manliga arbetskraften. Därom vet jag ingenting, herr talman. Jag vet bara, att på min fråga, hur det verkat i Danmark, svarade man, att man där icke hade kunnat förmärka någon dylik reduktion, och jag förmodar, att de danska och svenska </w:t>
      </w:r>
      <w:r>
        <w:rPr>
          <w:b/>
        </w:rPr>
        <w:t>kvinnorna¹</w:t>
      </w:r>
      <w:r>
        <w:rPr>
          <w:b w:val="0"/>
        </w:rPr>
        <w:t xml:space="preserve"> väl äro ungefär lika, och att det, som i nämnda avseende gäller i det ena landet, också skall kunna gälla i det andra landet.</w:t>
        <w:br/>
        <w:br/>
        <w:t xml:space="preserve">Jag vill vidare fästa uppmärksamheten därå, herr talman, att om vi i den civila förvaltningen icke fråga efter manliga eller </w:t>
      </w:r>
      <w:r>
        <w:rPr>
          <w:b/>
        </w:rPr>
        <w:t>kvinnliga¹</w:t>
      </w:r>
      <w:r>
        <w:rPr>
          <w:b w:val="0"/>
        </w:rPr>
        <w:t xml:space="preserve"> löner, så ha vi väl också där någon erfarenhet. Vi ha t. ex. </w:t>
      </w:r>
      <w:r>
        <w:rPr>
          <w:b/>
        </w:rPr>
        <w:t>kvinnor¹</w:t>
      </w:r>
      <w:r>
        <w:rPr>
          <w:b w:val="0"/>
        </w:rPr>
        <w:t xml:space="preserve">, som tjänstgöra i Kungl. Maj:ts kansli. Många departementschefer torde med mig kunna vitsorda, att dessa </w:t>
      </w:r>
      <w:r>
        <w:rPr>
          <w:b/>
        </w:rPr>
        <w:t>kvinnor¹</w:t>
      </w:r>
      <w:r>
        <w:rPr>
          <w:b w:val="0"/>
        </w:rPr>
        <w:t xml:space="preserve"> sannerligen icke representera någon mindervärdig arbetskraft. Jag har för min del bara gjort den stilla reflexionen, att det är vidunderligt i alla fall, hur många vidskepelser vi män ha dragits med, när vi gått ut ifrån, att den </w:t>
      </w:r>
      <w:r>
        <w:rPr>
          <w:b/>
        </w:rPr>
        <w:t>kvinnliga¹</w:t>
      </w:r>
      <w:r>
        <w:rPr>
          <w:b w:val="0"/>
        </w:rPr>
        <w:t xml:space="preserve"> arbetskraften skulle vara sämre kvalificerad än den manliga.</w:t>
        <w:br/>
        <w:br/>
        <w:t>Efter detta, herr talman, skall jag säga några ord om den andra punkten, där bataljen stått het, och det är differentieringsprincipen. Här stod en åsikt, som sade, att oberoende av tjänstgöringstidens längd, av lästidens omfattning och av tjänstgöringsskyldighetens omfattning, skall lönen vara lika. Ja, såsom jag redan förut antytt, har man på den punkten nått principiell enighet,</w:t>
        <w:br/>
        <w:br/>
        <w:t>Var och en måste säga sig, att i särskild ersättning för övertidsarbete ligger, att man erkänner riktigheten av att lägga olika omfattning av tjänstgöringstid och lästid till grund för det hela. Men härtill kommer en särskild omständighet, herr talman, som jag icke vill underlåta att trycka på. Den har kanske icke kommit riktigt klart till uttryck i utskottsutlåtandet, ty där användes en del formuleringar, som icke äro riktigt distinkta, icke riktigt klara. Man rör sig med uttrycken lästid, tjänstgöringsskyldighet, tjänstetiden och dess omfattning o. s. v. För mig och regeringen har bakom framställningen i denna fråga legat följande övervägande. Redan när vi här i riksdagen genomförde propositionen om att staten skulle övertaga den sista tiondedelen av lärarlönerna samt att staten beträffande skolhusbyggnaderna skulle engagera sig med ända till ?/, av kostnaderna, låg bakom detta principen »jag ger för att du skall ge», eller med andra ord: om staten på sig vältrar över dessa nya bördor, så kräver staten i vederlag undervisningens förbättring. Det var det, som låg bakom propositionen påföljande år om den sjuåriga skolan. Ty i samma ögonblick som staten hade åtagit sig, dels den sista delen av lärarlönen, dels dessa byggnadskostnader i så stor omfattning som Jag nämnt, var det klart, att staten som vederlag skulle på undervisning och effektivitet ställa skärpta krav, vilket också skedde i form av förslaget om det sjunde skolåret — ett förslag, som riksdagen tog.</w:t>
        <w:br/>
        <w:br/>
        <w:t>Det är samma tankegång som jag sökt fullfölja i detta fall, den nämligen, att staten skall å ena sidan övertaga kostnaderna för den övertid, som skoldistrikten kunna komma att besluta — alltså att kostnaden för den förlängning av lästiden, som där kan komma att inträda genom lokala beslut, icke skall ligga på kommunen — men i vederlag skall staten kräva, att undervisningen förbättras. Följaktligen är det här ur mina synpunkter en fråga icke bara om tjänstgöringstiden och dess längd, det är icke bara en fråga om tjänstgöringsskyldigheten och dess omfattning, utan också en fråga om lästidens längd och om stärkande av svaga skolformer. Alltså: skall staten betala, så skall den också veta, vad den får för pengarna.</w:t>
        <w:br/>
        <w:br/>
        <w:t>Det är detta, som enligt min tanke bör framhållas gentemot dem, som i likhet med högerreservanterna kräva, att här skall fixeras en bestämd tid, inom vilken allt detta skall ha skett. I propositionen om det sjunde skolåret hade jag anledning framhålla, att vårt land i fråga om traditioner, psykologisk och sociologisk struktur är högst olikartat och att en klok politik bör räkna med denna både provinsiella och lokala olikhet i svenskt kynne och tradition, och att man följaktligen med hänsyn härtill, när man genomförde en sådan reform som det sjunde skolåret, borde gå fram med försiktighet och omsikt.</w:t>
        <w:br/>
        <w:br/>
        <w:t>Vad är det, som här föreligger? Högerreservanterna mena: »Vi kunna sätta ut ett visst år, och vi kunna säga, att det och det året skall allt detta vara genomfört.» Ja, det är lätt att säga tulipanaros, som det heter, men var snäll och gör'n! Det är lätt att säga, att inom det och det året skall allt detta vara genomfört, men vad vet riksdagen om möjligheten att genomföra det? Och vilka äro de anordningar som tarvas för att undervisningens förbättring skall</w:t>
        <w:br/>
        <w:br/>
        <w:t>Men vi ha därjämte just det problem, som jag här tangerat och som bör komma med vid en dylikt undersökning. Där bör komma med i vilken omfattning man kan förstärka de svagare skolformerna. Där bör komma med icke bara frågan om den förlängda lästiden, som gäller barnen, utan också den förlängda tjänstgöringsskyldigheten och tjänstetiden, som gäller lärarna. Kort och gott: hur mycket i form av undervisningens förbättring får staten i vederlag för sin ökade ekonomiska insats? Det finnes de allra starkaste motiv för att här göra en utredning, och i denna utredning måste då rimligtvis också ingå en undersökning, vid vilken tidpunkt situationen möjligen kan vara mogen för att genomföra dessa ting. Högerreservationen innebär, att man på förhand, utan att veta någonting, utan att ha gjort en detaljgranskning, skall kunna fixera ett visst år och säga: Då skall det vara fullbordat. — Det är enligt mitt sätt att se att ställa på huvudet hela den parlamentariska praxis, som har utmärkt den svenska riksdagen i analoga frågor. Men icke nog härmed. Det är tyvärr icke garantier för den bättre undervisningen högern åstundar, men väl för den högre löneplaceringen.</w:t>
        <w:br/>
        <w:br/>
        <w:t>Jag håller därför före, herr talman, att den argumentation, som högerreservanterna här fört i fält, icke är hållbar.</w:t>
        <w:br/>
        <w:br/>
        <w:t xml:space="preserve">Jag kommer så till frågan om småskollärarinnorna. Kungl. Maj:t har föreslagit deras placering i resp. lönegraderna 7, 8 och 9 — alltså en utveckling etappvis, allt eftersom tjänstgöringstiden, tjänstgöringsskyldigheten och lästiden i enlighet med vad jag sagt kommer att ändras. Det har sagts, att detta vore orättvist. Den tabell, som är bifogad utskottsutlåtandet och som jag hoppas herrarna ha studerat, anställer jämförelse mellan människor, placerade i olika lönegrader. Den utvisar tillfullo, huruvida detta kan anses orättvist eller icke. Om jag för det första alltså tager placeringen i den lägsta, 7:e lönegraden — vilka hitta herrarna där i samma lönegrad, om herrarna titta efter? Statsutskottet har i förbigående i sitt utlåtande hänvisat till det. Jo, vi påträffa t. ex. våra </w:t>
      </w:r>
      <w:r>
        <w:rPr>
          <w:b/>
        </w:rPr>
        <w:t>sjuksköterskor³</w:t>
      </w:r>
      <w:r>
        <w:rPr>
          <w:b w:val="0"/>
        </w:rPr>
        <w:t xml:space="preserve">. Vilken utbildning måste en </w:t>
      </w:r>
      <w:r>
        <w:rPr>
          <w:b/>
        </w:rPr>
        <w:t>sjuksköterska³</w:t>
      </w:r>
      <w:r>
        <w:rPr>
          <w:b w:val="0"/>
        </w:rPr>
        <w:t xml:space="preserve"> ha? </w:t>
      </w:r>
      <w:r>
        <w:rPr>
          <w:b/>
        </w:rPr>
        <w:t>Hon²</w:t>
      </w:r>
      <w:r>
        <w:rPr>
          <w:b w:val="0"/>
        </w:rPr>
        <w:t xml:space="preserve"> får obligatoriskt gå igenom ett 8-årigt </w:t>
      </w:r>
      <w:r>
        <w:rPr>
          <w:b/>
        </w:rPr>
        <w:t>flickläroverk²</w:t>
      </w:r>
      <w:r>
        <w:rPr>
          <w:b w:val="0"/>
        </w:rPr>
        <w:t xml:space="preserve">. </w:t>
      </w:r>
      <w:r>
        <w:rPr>
          <w:b/>
        </w:rPr>
        <w:t>Hon²</w:t>
      </w:r>
      <w:r>
        <w:rPr>
          <w:b w:val="0"/>
        </w:rPr>
        <w:t xml:space="preserve"> har sedan 3 års krävande utbildning. Efter allt detta sättes </w:t>
      </w:r>
      <w:r>
        <w:rPr>
          <w:b/>
        </w:rPr>
        <w:t>hon²</w:t>
      </w:r>
      <w:r>
        <w:rPr>
          <w:b w:val="0"/>
        </w:rPr>
        <w:t xml:space="preserve"> i 7:e lönegraden och har en ledighet, herr talman, av en månad per år. En småskollärarinna har efter, principiellt, realskoleexamen gått igenom ett tvåårigt seminarium, får sedan tjänst och har i de allra flesta fall en ledighet av 4 månader per år med bibehållen lön. .</w:t>
        <w:br/>
        <w:br/>
        <w:t xml:space="preserve">Det kan måhända invändas, att man icke närmast får jämföra människor från olika verksamhetsområden med varandra. Jag har emellertid den uppfattningen, att staten, om den har olika befattningshavare, måste se till, att de behandlas efter principen om rättvisa. Staten har en kår av </w:t>
      </w:r>
      <w:r>
        <w:rPr>
          <w:b/>
        </w:rPr>
        <w:t>sjuksköterskor³</w:t>
      </w:r>
      <w:r>
        <w:rPr>
          <w:b w:val="0"/>
        </w:rPr>
        <w:t xml:space="preserve">. Staten har en kår av småskollärarinnor. När nu </w:t>
      </w:r>
      <w:r>
        <w:rPr>
          <w:b/>
        </w:rPr>
        <w:t>sjuksköterskorna³</w:t>
      </w:r>
      <w:r>
        <w:rPr>
          <w:b w:val="0"/>
        </w:rPr>
        <w:t xml:space="preserve"> sättas</w:t>
        <w:br/>
        <w:br/>
        <w:t xml:space="preserve">i 7:e lönegraden och dessa småskollärarinnor börja i 7:e lönegraden för att sedan, i den mån tjänstgöringstiden förlänges, komma upp i 9:e lönegraden — då har man ju, såvitt jag förstår, en ganska klar skyldighet att anställa Jämförelser. Den, som har någon erfarenhet av den svenska sjuksköterskekåren, torde kunna vitsorda, att det är en kår, som i sin gärning förtjänar allas vår beundran. Intet arbete är mer enerverande, mer påfrestande. Intet arbete ställer kanske större krav på samvetsgrannhet, precision, självuppoffring och hängivenhet än den kårens arbete. Detsamma kan sägas om vår småskollärarinnekår. Jag vill för min del av fullaste hjärta intyga och understryka, att av dem som ha att taga hand om våra barn, ha kanske småskollärarinnorna den ömtåligaste uppgiften. Även de ha ett slitsamt och strävsamt arbete, ett arbete fyllt av plikt och möda. Men lägg märke till att de i det övervägande antalet fall ha 4 månaders rekreation, där </w:t>
      </w:r>
      <w:r>
        <w:rPr>
          <w:b/>
        </w:rPr>
        <w:t>sjuksköterskorna³</w:t>
      </w:r>
      <w:r>
        <w:rPr>
          <w:b w:val="0"/>
        </w:rPr>
        <w:t xml:space="preserve"> bara ha en månad, och de ha möjlighet att raskt nog kliva upp i 8:e och 9:e lönegraderna. Enligt samtligas uppfattning i utskottet förutsätter man nämligen, att utvecklingen fram till en tjänstgöringsskyldighet av 39 veckor skall gå mycket fort, och följaktligen bör man också beträffande småskollärarinnorna ha i åtanke, att de placeras icke bara i samma grad som </w:t>
      </w:r>
      <w:r>
        <w:rPr>
          <w:b/>
        </w:rPr>
        <w:t>sjuksköterskorna³</w:t>
      </w:r>
      <w:r>
        <w:rPr>
          <w:b w:val="0"/>
        </w:rPr>
        <w:t>, utan detta är en startplacering. De komma dessutom i 8:e och 9:e lönegraderna.</w:t>
        <w:br/>
        <w:br/>
        <w:t>Jag har velat anföra detta, herr talman, för att understryka, att i den debatt, som har stått kring denna lönereglering, har det varit en oerhörd överdrift i påståendena beträffande småskollärarinnorna, och det har också visat sig, när allt detta kommit under statsutskottets kalla och granskande ögon, att det icke har hållit måttet, utan statsutskottet har behållit huvudet kallt och gjort en inplacering av våra småskollärarinnor, som jag finner vara riktig. Utskottet har emellertid också pekat på behovet av vissa utredningar. Den väsentligaste av dessa är den jag redan berört, att utreda förhållandet mellan lönegradsplaceringen — alltså differentiering av lönen — och lärareinsatsen. Jag vill betyga, herr talman, att i vad på regeringen ankommer skall intet underlåtas att i detta stycke tillmötesgå statsutskottets uttalade önskan. Denna utredning kommer, därest statsutskottets förslag vinner riksdagens bifall, att ofördröjligen igångsättas, och jag lovar att ingenting underlåta för att den skall bedrivas med all möjlig energi och skyndsamhet, så att resultatet så snart som möjligt skall kunna presenteras riksdagen.</w:t>
        <w:br/>
        <w:br/>
        <w:t>Ja, herr talman, jag skall för ögonblicket icke fördjupa mig mer i dessa frågor. Jag har velat peka på dessa principiellt betydelsefulla huvudpunkter, och jag uttalar den förhoppningen, att första kammaren i de nu föredragna punkterna måtte ge sin anslutning till statsutskottets hemställan.</w:t>
      </w:r>
    </w:p>
    <w:p>
      <w:pPr>
        <w:pStyle w:val="Heading2"/>
      </w:pPr>
      <w:r>
        <w:t>4. Bernhard Nilsson (Lantmanna- och borgarepartiet inom andrakammaren, man)</w:t>
      </w:r>
    </w:p>
    <w:p>
      <w:r>
        <w:rPr>
          <w:b w:val="0"/>
        </w:rPr>
        <w:t>Herr talman, mina herrar! Herr ecklesiastikministern har i sitt anförande helt naturligt berört hela detta ärende. Med herr talmannens benägna medgivande skall även jag be att få yttra några ord även om de punkter, som ännu icke äro föredragna.</w:t>
        <w:br/>
        <w:br/>
        <w:t xml:space="preserve">Jag hade tänkt att till en början i mitt anförande något redogöra för de extra fördelar, som tillkomma våra folkskollärare genom att kåren får övergå till den allmänna civilförvaltningens lönereglemente, men ecklesiastikministern har ju så utförligt gått in på detta, att jag icke skall upptaga kammarens tid med att repetera någonting i den vägen. När ecklesiastikministern sedan övergick till de punkter, som utskottsklämmen innehåller, började han med likalönsprincipen och motiverade, varför enligt hans mening lika lön borde utgå till manliga och </w:t>
      </w:r>
      <w:r>
        <w:rPr>
          <w:b/>
        </w:rPr>
        <w:t>kvinnliga¹</w:t>
      </w:r>
      <w:r>
        <w:rPr>
          <w:b w:val="0"/>
        </w:rPr>
        <w:t xml:space="preserve"> folkskollärare. Han tog ett exempel: en gosse</w:t>
        <w:br/>
        <w:br/>
        <w:t xml:space="preserve">Jag skall inte — delvis kanske av artighet mot </w:t>
      </w:r>
      <w:r>
        <w:rPr>
          <w:b/>
        </w:rPr>
        <w:t>kvinnorna¹</w:t>
      </w:r>
      <w:r>
        <w:rPr>
          <w:b w:val="0"/>
        </w:rPr>
        <w:t xml:space="preserve"> — gå närmare in på denna fråga. Jag vill blott nämna, att när jag för åtskilliga år sedan var ledamot av en statlig löneregleringskommitté, gjorde vid en grundlig utredning angående denna sak, varvid vi t. o. m. studerade förhållandena i olika delar av Europa, och då visade det sig, att de manliga tjänstemännens prestationsförmåga var större än de </w:t>
      </w:r>
      <w:r>
        <w:rPr>
          <w:b/>
        </w:rPr>
        <w:t>kvinnligas¹</w:t>
      </w:r>
      <w:r>
        <w:rPr>
          <w:b w:val="0"/>
        </w:rPr>
        <w:t>, av olika skäl, som jag här inte skall gå in på.</w:t>
        <w:br/>
        <w:br/>
        <w:t xml:space="preserve">Det finns naturligtvis inom vår skollärarkår en mängd dugliga och praktiska både manliga och </w:t>
      </w:r>
      <w:r>
        <w:rPr>
          <w:b/>
        </w:rPr>
        <w:t>kvinnliga¹</w:t>
      </w:r>
      <w:r>
        <w:rPr>
          <w:b w:val="0"/>
        </w:rPr>
        <w:t xml:space="preserve"> lärare, och det finns också motsatsen. Men på det hela taget tror jag, att särskilt när det gäller undervisningen i de äldre klasserna de manliga ha företräde, därför att det är lättare för dem att uppehålla disciplin, det är lättare för dem att göra sig gällande bland de äldre skolbarnen, vilket ännu mer torde komma att framträda, när den sjuåriga folkskolan blir genomförd.</w:t>
        <w:br/>
        <w:br/>
        <w:t xml:space="preserve">Ecklesiastikministern talade om denna fråga — lönen för manliga och </w:t>
      </w:r>
      <w:r>
        <w:rPr>
          <w:b/>
        </w:rPr>
        <w:t>kvinnliga¹</w:t>
      </w:r>
      <w:r>
        <w:rPr>
          <w:b w:val="0"/>
        </w:rPr>
        <w:t xml:space="preserve"> folkskollärare — endast från prestationssynpunkt, men nämnde ingenting om behovsprincipen. Han yttrade bland annat, att 1925 års riksdagsbeslut kunde anses prejudicerande för ståndpunktstagandet till likalönsprincipen. För min del skall jag inte närmare yttra mig därom, då jag icke var med i riksdagen 1925, men jag måste säga, att inom den avdelning av statsutskottet, som förberedde ärendet, hävdade man inte den meningen, att nämnda beslut skulle vara prejudicerande i fråga om likalönsprincipen, utan man ansåg att den frågan fortfarande vore öppen och borde behandlas av 1936 års lönekommitté. Jag vill emellertid inte underlåta att framhålla, att den ståndpunkt riksdagen kommer att inta i fråga om </w:t>
      </w:r>
      <w:r>
        <w:rPr>
          <w:b/>
        </w:rPr>
        <w:t>lärarinnorna³</w:t>
      </w:r>
      <w:r>
        <w:rPr>
          <w:b w:val="0"/>
        </w:rPr>
        <w:t xml:space="preserve"> säkerligen blir prejudicerande för likalönsprincipens tillämpning på statens befattningshavare 1 övrigt. Vi få inte glömma, att folkskollärarinnorna äro över 6,500 och småskollärarinnorna, vilkas löneställning säkerligen kommer att influeras av folkskollärarinnornas, över 12,300. Om riksdagen vid detta tillfälle godkänner statsutskottsmajoritetens förslag, kan man vara absolut säker på, att den därmed binder sig vid likalönsprincipen, försåvitt den inte ytterligare vill höja lönerna för de manliga folkskollärarna. För egen del har jag, som jag tidigare nämnde, deltagit i kommittéarbete rörande denna fråga och sysslat med den ganska ingående, varför min ståndpunkt kanske är mer utpräglad än de flestas.</w:t>
        <w:br/>
        <w:br/>
        <w:t>Man kan ju resonera om den lika lönen från olika synpunkter. Man kan fråga, om en lön, räknad i kronor och ören, kan anses vara lika för befattningshavare på olika orter, eller om det är behovet eller penningens köpkraft på den ort, där vederbörande är stationerad, som är avgörande. Jag tänker på ortsgrupperingen för våra statstjänstemän. Ingen vill väl påstå att en befattningshavare inom en över hela landet så spridd kår som exempelvis post- eller järnvägspersonalen, som själv är bosatt i Stockholm, har en annan ställning än en befattningshavare med samma tjänst i landsorten. Man anser dem likställda, trots att den som är bosatt i Stockholm uppbär högre lön än den som är bosatt i landsorten. När året gått och deras levnadskostnader äro betalda, är det ekonomiska resultatet för dem av det gångna året detsamma. Detta är ju avsikten med ortsplaceringen i lönehänseende. Om man beträffande folk-</w:t>
        <w:br/>
        <w:br/>
        <w:t xml:space="preserve">Det finns också en annan punkt i detta förslag som gör, att de </w:t>
      </w:r>
      <w:r>
        <w:rPr>
          <w:b/>
        </w:rPr>
        <w:t>kvinnliga¹</w:t>
      </w:r>
      <w:r>
        <w:rPr>
          <w:b w:val="0"/>
        </w:rPr>
        <w:t xml:space="preserve"> lärarna bli bättre ställda, och det är bostadsfrågan. Varje lärare är skyldig att motta en bostad på tre rum och kök, oavsett om läraren är manlig eller </w:t>
      </w:r>
      <w:r>
        <w:rPr>
          <w:b/>
        </w:rPr>
        <w:t>kvinnlig¹</w:t>
      </w:r>
      <w:r>
        <w:rPr>
          <w:b w:val="0"/>
        </w:rPr>
        <w:t xml:space="preserve">, men ingenting hindrar den, som kan, att avstå ett eller ett par rum, att hyra ut dem till annan person. En </w:t>
      </w:r>
      <w:r>
        <w:rPr>
          <w:b/>
        </w:rPr>
        <w:t>lärarinna³</w:t>
      </w:r>
      <w:r>
        <w:rPr>
          <w:b w:val="0"/>
        </w:rPr>
        <w:t xml:space="preserve"> kan bo i ett enda rum och hyra ut de övriga för att därigenom bereda sig en hyresinkomst utan att lönen minskas, men en manlig lärare som har familj behöver ha alla tre rummen. I de fall, där skoldistriktet inte tillhandahåller bostad, utan lämnar kontant ersättning, måste läraren skaffa sig bostad på egen hand av en storlek och dyrhetsklass, som motsvarar hans personliga behov. En ogift </w:t>
      </w:r>
      <w:r>
        <w:rPr>
          <w:b/>
        </w:rPr>
        <w:t>lärarinna³</w:t>
      </w:r>
      <w:r>
        <w:rPr>
          <w:b w:val="0"/>
        </w:rPr>
        <w:t xml:space="preserve"> hyr givetvis en mindre bostad än en gift manlig lärare, och följden blir, att </w:t>
      </w:r>
      <w:r>
        <w:rPr>
          <w:b/>
        </w:rPr>
        <w:t>hennes²</w:t>
      </w:r>
      <w:r>
        <w:rPr>
          <w:b w:val="0"/>
        </w:rPr>
        <w:t xml:space="preserve"> nettolön blir större än en motsvarande manlig befattningshavares på samma plats. Den synpunkt, som herr ecklesiastikministern framhöll, nämligen likställigheten i fråga om arbetsprestationer, kan naturligtvis anläggas, fastän jag inte tror, att den heller står sig. Men går man in på frågan om de manliga och </w:t>
      </w:r>
      <w:r>
        <w:rPr>
          <w:b/>
        </w:rPr>
        <w:t>kvinnliga¹</w:t>
      </w:r>
      <w:r>
        <w:rPr>
          <w:b w:val="0"/>
        </w:rPr>
        <w:t xml:space="preserve"> lärarnas levnadsstandard, så blir det orimliga konsekvenser av likställigheten, ty det blir ingen likställighet i levnadsstandard, utan det blir en betydlig olikhet.</w:t>
        <w:br/>
        <w:br/>
        <w:t>Jag skall nu övergå till att med några ord beröra punkt 2, som rör uppflyttning 1 skoldistrikt, där det för närvarande tillämpas kortare tjänstgöringstid för lärare än 39 veckor. Som alla kammarens ledamöter säkerligen ha sett, skiljer sig i denna punkt utskottsförslaget från herr Johanssons i Fredrikslund reservation i sådant avseende, att enligt utskottsförslaget blir det skoldistriktets sak att besluta om förbättrad skolform, varigenom lärare skulle komma upp i högre löneställning, medan enligt herr Johanssons i Fredrikslund m. fl. reservation uppflyttning från lönegrad 15 till 16 skall ske efter ett och ett halvt år och från lönegrad 16 till 17 efter ytterligare två år. Enligt min uppfattning — och jag förstår ärligt talat inte, varför inte ecklesiastikministern delar den — ligger det en utomordentlig fördel i denna automatiska uppflyttning. När riksdagen nu skall besluta i en så pass stor fråga som vår lärarekårs löneställning, är det nödvändigt att riksdagen därmed förknippar en avsevärd förbättring av skolväsendet i landet, särskilt när det blir så betydligt ökade kostnader som här är fallet. Detta sker inte, om utskottsförslaget bifalles, men det sker, om herr Johanssons i Fredrikslund reservation bifalles. Det är uppenbart, att ett skoldistrikt, så snart denna reform är genomförd och till och med när som helst, kan förbättra sitt skolväsen, inrätta en högre skolform 1 stället för en lägre och öka lästiden från kortare tid till längre. Därmed flyttas också lärarna automatiskt upp i en löneställning, som motsvarar den</w:t>
        <w:br/>
        <w:br/>
        <w:t>Punkt 4, som gäller småskollärarinnorna, är en konsekvens av vad som föreslås i reservationens punkt 2, och jag ber, herr talman, att få yrka bifall till herr Johanssons i Fredrikslund reservation beträffande punkterna 2 och 6 i föredragna delar.</w:t>
      </w:r>
    </w:p>
    <w:p>
      <w:pPr>
        <w:pStyle w:val="Heading2"/>
      </w:pPr>
      <w:r>
        <w:t>5. Ivan Pauli (Socialdemokraterna, man)</w:t>
      </w:r>
    </w:p>
    <w:p>
      <w:r>
        <w:rPr>
          <w:b w:val="0"/>
        </w:rPr>
        <w:t xml:space="preserve">Herr talman! Som kammaren har hört, är det huvudsakligen två frågor, kring vilka diskussionen beträffande detta utskottsförslag och den proposition, som det gäller, nu rör sig. Den ena frågan gäller principen om lika lön för manliga och </w:t>
      </w:r>
      <w:r>
        <w:rPr>
          <w:b/>
        </w:rPr>
        <w:t>kvinnliga¹</w:t>
      </w:r>
      <w:r>
        <w:rPr>
          <w:b w:val="0"/>
        </w:rPr>
        <w:t xml:space="preserve"> lärare, den andra frågan gäller lönegradsplaceringens differentiering efter tjänstgöringstid. Jag har ju ingen anledning att här ta upp alltför mycket av kammarens tid med att utveckla utskottets synpunkter på dessa två frågor, allra helst som de blivit utförligt belysta redan i statsrådets anförande. Men eftersom min ärade utskottskamrat herr Nilsson i Landeryd, som nyss har talat för högerns reservation, har berört dem från sina speciella utgångspunkter, kan det kanske vara lämpligt, att jag något belyser hans resonemang.</w:t>
        <w:br/>
        <w:br/>
        <w:t xml:space="preserve">För oss, som haft tillfälle att höra herr Nilsson i Landeryd på avdelningen och vid utskottets plenum, var det ingen överraskning, när han förklarade, att hans ståndpunkt till likalönsprincipen var mera utpräglad än de flestas. Det ha vi klarligen förnummit sedan länge. Däremot ha vi inte — åtminstone på den sida jag tillhör — kunnat tillerkänna hans argument någon slående kraft i proportion till hans övertygelses rotfasthet. När han försöker göra gällande, att de </w:t>
      </w:r>
      <w:r>
        <w:rPr>
          <w:b/>
        </w:rPr>
        <w:t>kvinnliga¹</w:t>
      </w:r>
      <w:r>
        <w:rPr>
          <w:b w:val="0"/>
        </w:rPr>
        <w:t xml:space="preserve"> lärarnas arbetsprestation är underlägsen de manliga lärarnas — ty även om han sade sig av artighet icke vilja göra ett sådant uttalande, så gjorde han det likväl — så tror jag uppriktigt sagt, att han brister i bevisningen. Hänvisningen till en viss utredning om andra saker som han tidigare har deltagit i kan icke vara tillfyllest. Han nämnde särskilt frågan om möjligheten att hålla disciplin i de högre folkskoleklasserna. Jag får verkligen säga, att detta är ett alltför komplicerat problem för att kunna lösas genom en enkel gränsdragning mellan könen. Det finns </w:t>
      </w:r>
      <w:r>
        <w:rPr>
          <w:b/>
        </w:rPr>
        <w:t>kvinnor¹</w:t>
      </w:r>
      <w:r>
        <w:rPr>
          <w:b w:val="0"/>
        </w:rPr>
        <w:t xml:space="preserve"> som ha en utomordentlig disciplinär förmåga, och det finns karlar som ganska utpräglat sakna sådan förmåga. Det är fullkomligt hopplöst att i sådana ting dra upp en gräns efter kön.</w:t>
        <w:br/>
        <w:br/>
        <w:t xml:space="preserve">Det var emellertid icke detta som var herr Nilssons i Landeryd huvudargument, utan det var behovsprincipen. Jag måste säga, att hans argument för behovssynpunkten föreföllo mig rätt egendomliga. Han drog in en sådan sak som dyrortsgrupperingen och försökte dra en parallell mellan denna och den olika lönen för manliga och </w:t>
      </w:r>
      <w:r>
        <w:rPr>
          <w:b/>
        </w:rPr>
        <w:t>kvinnliga¹</w:t>
      </w:r>
      <w:r>
        <w:rPr>
          <w:b w:val="0"/>
        </w:rPr>
        <w:t xml:space="preserve"> lärare. Dyrortsgrupperingen är ju dock en helt annan historia. Det är utrönt, att det på grund av vissa ekonomiska faktorer är dyrare att leva på en ort än på en annan, och man tillerkänner följaktligen av denna klara orsak den, som bor på den dyrare orten, ett visst tillägg. Men när herr Nilsson i Landeryd söker vindicera, att det alltid är dyrare att vara karl än att vara </w:t>
      </w:r>
      <w:r>
        <w:rPr>
          <w:b/>
        </w:rPr>
        <w:t>fruntimmer²</w:t>
      </w:r>
      <w:r>
        <w:rPr>
          <w:b w:val="0"/>
        </w:rPr>
        <w:t xml:space="preserve">, så tror jag att han även på den punkten brister i bevisningen. Han drar fram det vanliga argumentet, att de manliga lärarna äro familjeförsörjare, och om de icke äro det, så böra de vara det, sade han. Ja, men herr Nilsson i Landeryd, huvudsaken är väl just själva faktum, nämligen den förefintliga försörjningsplikten. Om den saken har det varit åtskillig polemik under senare tiden, särskilt i de olika fackorganen, och det har därunder visat sig att man från den sida, där man vänder sig mot likalönsprincipen, har kommit med uppgifter, som vid en närmare granskning icke hålla streck. Det är ingalunda en så stor procent som man velat göra gällande av de manliga lärarna som ha försörjningsplikt. Dessutom kan försörjningsplikten icke användas som argument på ett sådant sätt, sora man från detta håll gjort. Man har nämligen inte bara tagit upp försörjningsplikt mot oförsörjda barn, vilket ju bör vara det huvudsakliga — jag vill för övrigt inom parentes nämna, att man i den förebragta statistiken icke tycks ha skilt mellan kategorien oförsörjda barn och sådana, som redan kommit ut i livet och skaffat sig sin bärgning eller mot </w:t>
      </w:r>
      <w:r>
        <w:rPr>
          <w:b/>
        </w:rPr>
        <w:t>hustru²</w:t>
      </w:r>
      <w:r>
        <w:rPr>
          <w:b w:val="0"/>
        </w:rPr>
        <w:t xml:space="preserve">, där försörjningsplikten redan är en mera problematisk historia ur lönepolitikens synpunkt, utan även i ganska stor utsträckning försörjningsplikt mot </w:t>
      </w:r>
      <w:r>
        <w:rPr>
          <w:b/>
        </w:rPr>
        <w:t>hushållerskor³</w:t>
      </w:r>
      <w:r>
        <w:rPr>
          <w:b w:val="0"/>
        </w:rPr>
        <w:t xml:space="preserve"> och </w:t>
      </w:r>
      <w:r>
        <w:rPr>
          <w:b/>
        </w:rPr>
        <w:t>hembiträden³</w:t>
      </w:r>
      <w:r>
        <w:rPr>
          <w:b w:val="0"/>
        </w:rPr>
        <w:t>. Det sätt, varpå denna argumentering har förts, är sannerligen icke något starkt stöd för det motstånd man rest mot den fullkomligt rättvisa princip, som ligger i, att ett arbete, som är likadant på det ena som på det andra hållet och som kräver samma utbildning, skall uppskattas lika. Jag vill påminna om vad statsrådet nyss anförde, nämligen att likalönsprincipen sedan många år är genomförd i våra närmaste grannländer, och det vore sannerligen icke något tecken på att den svenska riksdagen ville utmärka sig i framstegshänseende, om vi vägrade att nu godtaga den.</w:t>
        <w:br/>
        <w:br/>
        <w:t>Jag skall icke ge mig in på någon diskussion i en annan punkt, som herr</w:t>
        <w:br/>
        <w:br/>
        <w:t xml:space="preserve">Nilsson i Landeryd också tog upp, nämligen huruvida principen fastslogs 1925 eller om frågan fortfarande kunde anses stå öppen. Vi kunna naturligtvis inte tvinga riksdagen till något konsekvensmakeri med avseende på vad som hände 1925, och vi hörde nyss herr statsrådet berätta, huru detta varit föremål för invecklade tolkningstvister. Jag måste fråga, hur herr Nilsson i Landeryd kan använda ett sådant uttryck som att »man» inom utskottet hävdat, att frågan icke avgjordes principiellt 1925 utan fortfarande vore öppen. Såvitt jag kunde höra — och jag var också närvarande vid de avdelningssammanträden, som han närmast syftade på — så hävdade man visserligen detta på herr Nilssons i Landeryd och hans partikamraters håll, men jag hörde då inte att det var någon enhällig mening. Detta framgår också av ståndpunktstagandet till propositionen. Jag vill också hoppas, att kammaren på denna punkt, på de mycket goda skäl som äro förebragta, följer utskottet i fråga om lönesättningen för </w:t>
      </w:r>
      <w:r>
        <w:rPr>
          <w:b/>
        </w:rPr>
        <w:t>kvinnliga¹</w:t>
      </w:r>
      <w:r>
        <w:rPr>
          <w:b w:val="0"/>
        </w:rPr>
        <w:t xml:space="preserve"> lärare i jämförelse med manliga.</w:t>
        <w:br/>
        <w:br/>
        <w:t>När det sedan gäller den andra frågan, nämligen differentieringen av lönegradsplacerade lärare i tre olika grupper efter tjänstgöringstidens längd, så måste man förvåna sig över den splittring som på denna punkt uppstått i utskottet. I själva verket finns det inte någon principiell motsättning mellan de olika ståndpunkterna. Men icke desto mindre, och trots att man i huvudsak är ense, ha vi nu dels utskottets ståndpunkt, dels den reservation, som herr Nilsson i Landeryd med några partikamrater har undertecknat, dels en reservation, undertecknad av herr Jeppsson och några av hans partikamrater, som, i den speciella fråga, om vilken jag nu talar, icke efter vad jag kunnat upptäcka på annat sätt skiljer sig från högerherrarnas reservation än att orden 3 !/2 äro uttryckta med siffror, under det herr Johansson i Fredrikslund har dem med bokstäver. Varför man under sådana förhållanden skall marschera fram med två olika reservationer, har jag svårt att förstå. Slutligen finns det ytterligare två reservationer, vilkas målsmän säkerligen också komma att göra sig gällande i debatten. Men det märkliga faktum är, att vi allesammans äro överens om huvudsaken, nämligen att vi, som det heter i utskottsutlåtandet, önska, att denna differentiering endast skall vara ett övergångsstadium. Utskottet uttalar till och med en förvissning om att det endast skall bli ett mycket kort övergångsstadium. Det enda man tvistar om är, huruvida man skall komma fram till den enhetliga löneplaceringen och den enhetliga tjänstgöringstiden efter en viss övergångstid som bestämmes redan 1 år, eller om man skall avstå från att nu bestämma övergångstid och nöja sig med att begära en skyndsam utredning i syfte att så snart som möjligt komma till det eftersträvade målet. Och vad är det för skillnad mellan de olika reservationernas ståndpunkter? Den ena reservanten säger: »Låt oss få en övergångstid på 3 !/2 år.» Den andra reservanten säger: »Låt oss få en övergångstid på 42/2 år.» Hur skall man kunna säga vilket av dessa förslag som är det riktiga? Jag hoppas också, att den tid, som skall förflyta, till dess vi komma fram till den tidpunkt, då man kan göra både tjänstgöringen och lönegradsplaceringen enhetliga, skall kunna bli ungefär en så kort årsperiod, som antydes av dessa reservanter. Men jag har verkligen svårt att tillskriva mig en sådan grad av profetisk förmåga, att jag vågar påstå inför riksdagen, att det kommer att taga precis 3 2!/2 år eller precis 42/2 år, innan allt är klappat och klart. Under sådana omständigheter och då vi ha hört statsrådet nyss uttryckligen förklara, att regeringen kommer att göra allt vad den kan för att påskynda den begärda utredningen — för att alltså laga, att vad som har ställts i utsikt av utskottet, också blir verklighet — då borde man ju kunna anse att man når precis samma mål som det, som de olika re-</w:t>
        <w:br/>
        <w:br/>
        <w:t>Det är emellertid en liten sak, som jag skall tillåta mig att i detta sammanhang framhålla, herr talman, beträffande motiveringen i utskottsutlåtandet. När man läser propositionen, så finner man, att det däri icke har gjorts någon strängare skillnad mellan begreppen lästid för skolbarnen och tjänstgöringstid för lärarna. Däremot har man vid utskottsbehandlingen byggt på den tanken, att den utsträckta tiden 39 veckor och även en utsträckning, som är lägre än 39 veckor, skulle gälla tjänstgöringen för lärarna, vilket ju är nödvändigt, eftersom det är den faktiska arbetsprestationen, som bör utgöra grunden för lönesättningen, men att det icke samtidigt skall behöva betyda en motsvarande höjning av lästiden för barnen. Även om detta äro utskottsmajoriteten och reservanterna fullkomligt ense, och den sak man vill ha utredd är just det lämpligaste systemet att inom ramen för den utsträckta tjänstgöringstiden för lärarna finna den bästa användningen för denna tjänstgöring i form av en t. ex. på olika klassavdelningar fördelad lästid för barnen. Det har ju också varit så, som det har framhållits, att man på många håll på vår landsbygd drar sig för alltför snabbt framtvingade utökningar av själva lästiden. Men däremot har, såvitt jag förstår, inte på något håll inom statsutskottet någon bestämd opposition rests mot att tjänstgöringstiden för lärarna utsträckes under förutsättning, att det inte nödvändigt behöver medföra en motsvarande lästid för alla barn och klassavdelningar. Under sådana förhållanden finner jag, att vad som säges i utskottsutlåtandet på sid. 53 stycket 3 nedifrån är, såvitt det gäller de två senare meningarna, fullt riktigt. Däremot finnes det en första kort mening i detta stycke, som jag tror kan vålla missuppfattningar. Den lyder så här: »Uppmärksammas bör, att lönegradsplaceringen enligt Kungl. Maj:ts förslag liksom vid bifall till utskottets ändringsförslag anknytes till lästiden, alltså icke till lärarnas tjänstgöringstid.» Denna formulering är knappast lycklig, eftersom det dock uttryckligen påpekas på den föregående sidan i utskottsbetänkandet, att »utskottet ansluter sig till Kungl. Maj:ts förslag om en differentierad lön, avvägd med hänsyn till lärarnas tjänstgöringstid». Följaktligen måste man betrakta denna lilla punkt, som jag nyss läst upp, såsom en inadvertens, och möjligen skulle den också kunna medföra vissa praktiska svårigheter vid den kommande tolkningen av riksdagens ståndpunkt. Jag anser det därför vara lyckligast, om denna punkt utgår ur utskottets betänkande. Den spelar inte den allra minsta roll för resonemanget i övrigt, och jag har gjort mig förvissad om, att man på majoritetssidan inom utskottet inte har någonting att invända mot att den utgår. Jag kommer alltså att i mitt yrkande även innefatta ett yrkande om strykning av denna punkt i motiveringen.</w:t>
        <w:br/>
        <w:br/>
        <w:t>Vad slutligen beträffar frågan om småskollärarinnorna, vilken ju strängt taget inte hör till de punkter, som talmannen har givit oss fullmakt att för närvarande behandla, men som ju dock i någon mån beröres i punkten 6, så vill jag säga, att jag där inte fullt kan dela propositionens och utskottsmajoritetens uppfattning, att man har gjort allt som rätteligen bör göras. Jag har därför förenat mig med två andra reservanter, som ha framställt ett yrkande i enlighet med herr Wagnssons motion om en höjning efter viss övergångstid till lönegraden B 11:i stället för B 9 för den händelse att likalönsprincipen genomföres. Jag har för övrigt nöjet att i denna punkt principiellt befinna mig på samma sida som de ärade högerreservanterna. De göra nämligen en mycket generös och gentil gest mot småskollärarinnorna och säga ungefär så här: vi tycka, att utskottet och propositionen ha rullat tillbaka till en föråldrad ståndpunkt i fråga om småskollärarinnorna, genom att sätta ett allt-</w:t>
        <w:br/>
        <w:br/>
        <w:t xml:space="preserve">Ang. lönereglering för folkoch småskollärare m. m. (Forts.) för stort avstånd mellan folkskollärarinnornas lönegradsplacering och småskollärarinnornas. Vi reservanter tycka, att detta avstånd borde vara mycket mindre, dock naturligtvis under en förutsättning, nämligen att likalönsprincipen genomföres. Men eftersom vi reservanter tyvärr äro av den uppfattningen, att likalönsprincipen icke bör genomföras, så kan alltså vår berömvärda generositet mot småskollärarinnorna icke resultera i något som helst positivt förslag, utan vi föreslå liksom propositionen lönegraden 9. Ja, Jag förstår, att det är roligt att göra frikostiga gester, och jag förstår också, att det är så mycket behagligare, när det ingenting kostar. Jag kan naturligtvis få det svaret, att den reservation jag har biträtt också är en gest, eftersom den inte har utsikt att bifallas, men där är dock den lilla skillnaden, att om jag och mina medreservanter finge anslutning till detta, så skulle vi inte tveka att rösta därför, medan jag däremot undrar, om en liknande värme i önskemålet föreligger hos herrar högerreservanter. Jag vill alltså säga, herr talman, att om kamrarna bifalla propositionen och utskottsutlåtandet i fråga om den principiellt likalönesättningen för manliga och </w:t>
      </w:r>
      <w:r>
        <w:rPr>
          <w:b/>
        </w:rPr>
        <w:t>kvinnliga¹</w:t>
      </w:r>
      <w:r>
        <w:rPr>
          <w:b w:val="0"/>
        </w:rPr>
        <w:t xml:space="preserve"> folkskollärare, då anser jag i likhet med mina medreservanter det riktiga vara, att lönegradsplaceringen för småskollärarinnorna föres något närmare den för de </w:t>
      </w:r>
      <w:r>
        <w:rPr>
          <w:b/>
        </w:rPr>
        <w:t>kvinnliga¹</w:t>
      </w:r>
      <w:r>
        <w:rPr>
          <w:b w:val="0"/>
        </w:rPr>
        <w:t xml:space="preserve"> folkskollärarna. I nuvarande läge skall jag på den punkten icke framställa något yrkande.</w:t>
        <w:br/>
        <w:br/>
        <w:t>Mitt yrkande blir alltså, herr talman, bifall till utskottets hemställan i den nu ifrågavarande punkten, dock med den ändring i utskottets motivering på sid. 53, att första punkten i stycket 3 nedifrån, som börjar med »Uppmärksammas bör» och slutar med »tjänstgöringstid», utgår.</w:t>
      </w:r>
    </w:p>
    <w:p>
      <w:pPr>
        <w:pStyle w:val="Heading2"/>
      </w:pPr>
      <w:r>
        <w:t>6. Olof Olsson (Socialdemokraterna, man)</w:t>
      </w:r>
    </w:p>
    <w:p>
      <w:r>
        <w:rPr>
          <w:b w:val="0"/>
        </w:rPr>
        <w:t>Jag tänker inte rida i galopp, herr talman, utan jag tänker gå mycket sakta fram och stanna och peka på de punkter, som jag för min del anser ha någon betydelse i den här frågan.</w:t>
        <w:br/>
        <w:br/>
        <w:t>Jag vill då börja med att säga, att jag betraktar den som en lönereglering. Jag vet mycket väl, att den, sådan som den föreligger, kan belamras med många frågetecken, men jag går i alla fall ut från vad den är och bör vara: en lönereglering. Om vid sidan av detta visst gagn för undervisningen skulle liksom slinka med, så är det bara bra.</w:t>
        <w:br/>
        <w:br/>
        <w:t>På grund av denna min syn på saken, gäller det för mig närmast att frambära tvenne punkter i ärendet. För det första: På vilka punkter är det, som man inte kan vara nöjd beträffande den framlagda folkskollärarlöneregleringen? Vad är det, som inte duger? Och för det andra: Hur skall man få den bättring, som är behövlig? Och eftersom detta mycket kortare kan uttryckas på det sättet: Hur ska vi egentligen ställa oss till de båda siffertalen: 39 veckor och B 17, så kommer mitt anförande huvudsakligast att röra sig kring dessa siffertal.</w:t>
        <w:br/>
        <w:br/>
        <w:t xml:space="preserve">Hittills har det ju varit på det sättet, att den lagstadgade minimitiden är 341/; veckor för alla våra folkskollärare. Är det någonting egentligen att anmärka på detta? Jo, jag tror, att man utan att använda för mycket begrundande kan tycka, att 34!/&gt; veckors arbete på ett år inte är mycket för en vuxen karl — inte för en vuxen </w:t>
      </w:r>
      <w:r>
        <w:rPr>
          <w:b/>
        </w:rPr>
        <w:t>kvinna¹</w:t>
      </w:r>
      <w:r>
        <w:rPr>
          <w:b w:val="0"/>
        </w:rPr>
        <w:t xml:space="preserve"> heller för all del, men både propositionen och utskottet ha ju den ridderligheten att här endast omnämna den manliga läraren. Men detta är också en sak som man har uppmärksammat i det praktiska livet. När man gick igenom de statistiska siffrorna för ett par år sedan, så fann man, att på 507 ställen hade man en övertidsläsning med 10 dagar, på 468 ställen en dito på 24 dagar och på 2,299 ställen läste man ända upp till 30 dagar i övertid. Det fanns några skolor, som voro än värre, men det var bara ett litet fåtal och förtjänar intet särskilt om-</w:t>
        <w:br/>
        <w:br/>
        <w:t>Detta gällde således den första av de båda frågorna. För ungefär 15 år sedan eller något mer tillsattes en kommitté i vårt land, som skulle försöka grunda ut, hur man skulle kunna inmontera landets folkskollärarkår i statens lönesystem, detta i hög grad därför, att lärarkåren själv hade begärt att komma in i det statliga lönesystemet. När den kommittén efter ett par tre år var färdig med sitt utlåtande, hade den för sin del funnit, att 17:e lönegraden ungefär innebar den rätta placeringen. Det är klart, att det inte är lätt att bestämma vad som kan vara den mest passeliga placeringen. Det är rätt svårt att jämföra denna kår med andra större kårer, men 1 alla fall tyckte man, att den utbildning, som den svenska folkskollärarkåren hade, var av den beskaffenhet, att någonstans från den 15:e till och med den 17:e lönegraden borde kåren placeras i. Nu veta vi ju, att det är så med våra svenska skolmästare, att de ha en förutbildning upp till realskolexamen och dessutom en fyraårig seminariekurs. De ha just inte några stora befordringsutsikter, men de ha 1 stället en så mycket mera vidlyftig ferietid.</w:t>
        <w:br/>
        <w:br/>
        <w:t>Vad är det nu, som har vållat svårigheterna att bestämma sig för det, som Jag personligen tycker, mycket enkla ställningstagandet, både till de 39 veckorna och till den 17:e lönegraden? Ja, så underligt det än kan låta, så har egentligen detta ställningstagande fallit på ett litet ord, nämligen det lilla ordet rättfärdighet. Om man vill vara vänlig i sitt tal, så säger man på detta sätt. Vill man tala sanning, så säger man naturligtvis någonting annat.</w:t>
        <w:br/>
        <w:br/>
        <w:t xml:space="preserve">Läsåret 1933—1934 hade vi 13,823 folkskollärare i vårt land; 8,029 voro karlar, och 5,794 voro </w:t>
      </w:r>
      <w:r>
        <w:rPr>
          <w:b/>
        </w:rPr>
        <w:t>kvinnor¹</w:t>
      </w:r>
      <w:r>
        <w:rPr>
          <w:b w:val="0"/>
        </w:rPr>
        <w:t xml:space="preserve">. Av dessa läste 901 karlar och 1,398 </w:t>
      </w:r>
      <w:r>
        <w:rPr>
          <w:b/>
        </w:rPr>
        <w:t>kvinnor¹</w:t>
      </w:r>
      <w:r>
        <w:rPr>
          <w:b w:val="0"/>
        </w:rPr>
        <w:t xml:space="preserve"> 9 månader om året, 219 karlar och 249 </w:t>
      </w:r>
      <w:r>
        <w:rPr>
          <w:b/>
        </w:rPr>
        <w:t>kvinnor¹</w:t>
      </w:r>
      <w:r>
        <w:rPr>
          <w:b w:val="0"/>
        </w:rPr>
        <w:t xml:space="preserve"> läste 24 dagar mera än den lagstadgade minimitiden. Det var inte troligt, att man skulle kunna få så många barn just att gå exempelvis 9 månader, detta därför att den saken ju bestämmes på annat håll. Och därav drog man då den slutsatsen, att det inte var rättvist, att de, som läste den längre tiden, inte skulle ha högre lön än de, som läste den kortare. Det fanns alltså ett samband mellan undervisningstid och lön. Och vi hörde ju alldeles nyss från statsrådsbänken, att det var detta, som var anledningen.</w:t>
        <w:br/>
        <w:br/>
        <w:t xml:space="preserve">Innan jag går vidare, vill jag inflika en liten parentes här. De lärare och </w:t>
      </w:r>
      <w:r>
        <w:rPr>
          <w:b/>
        </w:rPr>
        <w:t>lärarinnor³</w:t>
      </w:r>
      <w:r>
        <w:rPr>
          <w:b w:val="0"/>
        </w:rPr>
        <w:t>, som ha den längre lästiden eller undervisningstiden — det skall</w:t>
        <w:br/>
        <w:br/>
        <w:t xml:space="preserve">I detta sammanhang vill jag göra en liten utvikning. Departementschefen gjorde sig all möda att visa upp vilka fördelar, som följde med denna placering i B15, B 16 och B 17. Den, som inte är invigd i de här sakerna, får, när han hör en sådan framställning, gärna den uppfattningen, att detta vore något alldeles extra för folkskollärarna — något, som de finge liksom på köpet till den lönegrad, i vilken de blivit satta. Det är inte alls på det sättet. De ha inte några fördelar framför andra, som sitta i samma lönegrad, och om vi nu taga lönegraden B 7, som departementschefen särskilt sysselsatte sig med, så tog han först och främst fram </w:t>
      </w:r>
      <w:r>
        <w:rPr>
          <w:b/>
        </w:rPr>
        <w:t>sjuksköterskorna³</w:t>
      </w:r>
      <w:r>
        <w:rPr>
          <w:b w:val="0"/>
        </w:rPr>
        <w:t xml:space="preserve"> och påvisade, hur de hade det, men</w:t>
        <w:br/>
        <w:br/>
        <w:t>det är i ett helt annat sammanhang, som vi inte ha att göra med nu — jag kommer till det sedan. Men taga vi nu dem, som stå i B 15 — sålunda dem, som stå i den lägsta graden, som folkskollärarna komma i — så är väl ingen-</w:t>
        <w:br/>
        <w:br/>
        <w:t>ting rimligare än att vi taga fram och visa upp vad slags folk som står i samma lönegrad och som har precis samma fördelar som dem man kunde tro folkskollärarna vara ensamma om. I 15 lönegraden ha vi t. ex. skogsbiträde, registrator, kontorsskrivare, stationsskrivare, bokhållare, ritare, postassistent, materialförvaltare, kronohäktesföreståndare, tullmästare, stationsmästare, garage-, verkstads-, lednings-, vagnsoch maskinmästare 0. s. v.</w:t>
        <w:br/>
        <w:br/>
        <w:t>Jag kan inte för min del tycka, att det är så förfärligt konstigt, att folkskollärarna få dessa fördelar, när materialförvaltare och garagemästare och vagnmästare o. s. v. ha precis samma fördelar. Det är ibland mycket litet, som kan förvilla människor.</w:t>
        <w:br/>
        <w:br/>
        <w:t>Nå, men vad skall man nu göra för att detta förslag må kunna ändras och bli bättre? Det system, som ecklesiastikministern använder eller vill använda, det gör ingen nytta. Jag blev litet förvånad nu, när jag hörde herr Pauli. Ef-</w:t>
        <w:br/>
        <w:br/>
        <w:t>Jag kan inte heller tänka mig, att denna kammare någonsin har varit med om att lönereglera på ett sådant sätt, att staten varken fått bestämmanderätten över arbetsprestationerna i skoldistrikten eller över lönen, ty den, som bestämmer över detta, så som man har lagt upp det hitintills, är skoldistrikten. Det är de, som bestämma, huruvida barnen ska gå i skolan åtta eller nio månader, och med undervisningstiden följer den löneplacering, som folkskollärarna ska ha. Jag undrar, om man kan säga, att detta är en bra omkastning, och om det är rimligt, att det skall vara på det viset, att våra folkskollärares hela välfärd så att säga skall vara beroende av huruvida de ha kommit att hamna i ett distrikt, där man vill öka ut lästiden för barnen, eller i ett distrikt, där man inte vill det. Vill man i distriktet utöka lästiden, då stiga lärarna mot toppen och nå den högsta lönegraden. Vill man det inte, kommer läraren helt enkelt ingen vart, inte bara av det skälet, som herr Nilsson i Landeryd framhöll, att han alltid kommer att betraktas med misstroende, utan han kommer överhuvud taget att jämt och ständigt stå och stampa på samma ställe.</w:t>
        <w:br/>
        <w:br/>
        <w:t>Men nu säger man kanhända: här behöver minsann ingen stå och jämra sig. Utskottet skriver ju till Kungl. Maj:t och vill genom Kungl. Maj:t ha till stånd en riktigt bra ordning. Jag måste emellertid säga, att jag aldrig riktigt har kunnat förstå utskottets ställning, fastän jag många gånger har frågat efter vad utskottet menat, och efter den upplysning, som herr Pauli lämnat i dag, tycker jag, att det är ändå värre. Utskottet skriver, att utskottet inte kan »förorda en till tiderna fixerad övergång till längre läsoch tjänstgöringstider i folkskolan utan anser sig böra föreslå riksdagen att hos Kungl. Maj:t anhålla om utredning och förslag i syfte att förlänga tjänstgöringstiden för lärare vid folkoch småskolor till 39 veckor». Meningen kan väl inte vara att skriva till Kungl. Maj:t i syfte att förlänga tjänstgöringstiden till 39 veckor. 39 veckor finns redan, som ju är nämnt, såväl i betänkandet som i propositionen. 39 veckor är inte något, som man utreder. Det är någonting, som man bestämmer sig för. Jag har aldrig vetat vad som låg bakom detta, om det var lästiden, undervisningstiden, en blandning av båda eller vad det var, och jag är uppriktigt sagt lika konfunderad efter den upplysning, som herr Pauli lämnade. Men på denna punkt ha vi ju ett annat skrivelseförslag, nämligen från</w:t>
        <w:br/>
        <w:br/>
        <w:t>Skolöverstyrelsen kunde nämligen inte finna, att det var rättvist, att man helt och hållet skulle överlämna bestämmanderätten över undervisningstiden och lästiden till skoldistrikten. Man var fullt på det klara med att det vore så gott som att överlämna det åt rena godtycket, och enligt skolöverstyrelsens mening skulle i så fall många lärare aldrig någonsin komma upp i den högsta lönegraden. Då hade skolöverstyrelsen ett mycket bättre sätt att reda upp denna fråga. Det var klart, att de 39 veckorna inte var något att bråka om, och de behövde inte gå ut över några andra än folkskollärarna själva och rakt inte över barnen. Det kunde vara rätt besvärligt, att för barnens del ordna en lästid, som t. ex. gick betydligt längre än den nuvarande på vissa ställen och något ändå högre på andra ställen, men ute på landsbygden sällan nådde upp till de 39 veckorna. Detta behövde emellertid inte hindra, att man kunde ha 39 veckors arbetstid för lärarna även på landsbygden och sedan ordna det så för barnen, att de också hade verklig nytta av alla dessa veckor, även om de inte själva behövde vandra till skolan hela den tiden. I sin motion nr 249 har herr Wagnsson utfört denna tanke närmare. Jag tycker, att man behöver bara läsa igenom en halv sida i hans motion, för att man skall förstå, att detta är så gott som Columbi ägg.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