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807</w:t>
      </w:r>
    </w:p>
    <w:p>
      <w:r>
        <w:rPr>
          <w:b/>
        </w:rPr>
        <w:t xml:space="preserve">Datum: </w:t>
      </w:r>
      <w:r>
        <w:t>1937-06-04</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Friggeråker (Bondeförbundet, man)</w:t>
      </w:r>
    </w:p>
    <w:p>
      <w:r>
        <w:rPr>
          <w:b w:val="0"/>
        </w:rPr>
        <w:t>Vid 20 och 22 88 har undertecknad tillsammans med några andra ledamöter antecknat reservation.</w:t>
        <w:br/>
        <w:br/>
        <w:t>Det föreligger det egendomliga förhållandet, att under det att i allmänna pensionsförsäkringslagen kommunala andelen som bekant är bestämd till '/s och enligt den föregående nyss antagna lagen om barnbidrag kommunala andelen också bestämts till ”/s, föreslås här kommunala andelen till '/.. Det är mot detta, som denna reservation riktar sig, och vi ha ansett, att utskottet hade bort besluta, att kommunala andelen även i detta fall skulle utgöra endast '/g.</w:t>
        <w:br/>
        <w:br/>
        <w:t xml:space="preserve">Till stöd för detta yrkande kan det anföras en hel del skäl. En hel rad av myndigheter ha yrkat, att statsverket borde här åtaga sig hela kostnaden för förskottering av underhållsbidraget. Bland dem är det sådana som styrelsen för svenska stadsförbundet, som framhåller, »att de förutsättningar, under vilka förskotten skulle lämnas, med strikt fastställda regler om inkomstgräns och andra förutsättningar syntes föga kräva kommunens medverkan» och vidare att »genom att staten ensam toge dessa kostnader på sig skulle man kunna undvika en mera invecklad kontrollapparat». I en del yttranden hänvisar man till bestämmelserna 1 4 $ i samma lag om hemortsrätten, som är mycket invecklad. Säkerligen komma tvister att uppstå både med hänsyn till ortsgrupperingen och med hänsyn till vederbörandes hemortsrätt på grund av mantalsskrivning och deras hemortsrätt på grund av bostadsort och vistelseort och dylikt. Alla dessa invecklade förhållanden synas, att döma av framkomna yttranden, göra, att staten borde ha påtagit sig hela kostnaden, och det är en hel rad av yttranden, som gå i samma riktning. Därigenom skulle man, säger till exempel barnavårdsnämnden i Stockholm, »komma ifrån att behöva anknyta förskottsverksamheten till </w:t>
      </w:r>
      <w:r>
        <w:rPr>
          <w:b/>
        </w:rPr>
        <w:t>moderns²</w:t>
      </w:r>
      <w:r>
        <w:rPr>
          <w:b w:val="0"/>
        </w:rPr>
        <w:t xml:space="preserve"> mäntalsskrivningsort och kunna låta barnets vistelseort bliva avgörande, vilket skulle möjliggöra en bättre tillsyn över att beloppen verkligen komme till användning för tillgodo-</w:t>
        <w:br/>
        <w:br/>
        <w:t>Reservanterna ha icke velat gå så långt som att kräva, att staten skall överta hela kostnaden, utan ha önskat, att man skulle göra samma fördelning som i fråga om folkpensioneringen och den nu antagna lagen om barnbidrag. Jag hävdar alltjämt, att det ligger en viss rättvisa i detta. Genom ett statens övertagande av en större del av kostnaden sker en viss skatteutjämning. Här ålägger staten kommunerna en viss ekonomisk börda, och då bör ju också staten ur skatteutjämningssynpunkt hjälpa till att bära kostnaderna, eftersom då alltid en sådan ekonomisk börda, som ålägges primärkommunerna, kommer att drabba de skattetyngda och fattigaste kommunerna hårdare än de mera välbärgade.</w:t>
        <w:br/>
        <w:br/>
        <w:t>Jag skall icke längre uppehålla mig vid denna sak — det finns en hel del ytterligare, som kan anföras — men vill dock anföra ett exempel på hur den förra året antagna lagen om allmän pensionsförsäkring med de höjda folkpensionerna, som vi alla ha varit med om, kommer att verka. Åtminstone i den kommun, som jag tillhör, måste vi nästa år — vi ha fått meddelande därom från pensionsstyrelsen — beräkna kommunens bidrag till 65 procent högre än under föregående år på grund av denna höjning av pensionerna. Nu komma till dessa kostnader den åttondel, som i den nyss antagna lagen om barnbidrag ålägges kommunerna, och denna fjärdedel enligt lagen om förskottsbidrag. Det blir dock betydligt ökade bördor, som samlas på primärkommunerna.</w:t>
        <w:br/>
        <w:br/>
        <w:t>Nu förhåller det sig emellertid så, att här har icke väckts någon motion beträffande denna ändrade fördelning. Jag har inte själv haft med detta ärende att göra förrän under senare tid, när det blev ett sammansatt statsoch andra lagutskott. Hade jag haft med saken att göra tidigare, skulle jag ha väckt en motion, som kunde ha legat till underlag för ett yrkande. Nu har det meddelats mig, att talmannen anser sig icke kunna framställa proposition på ett ändringsyrkande, som innebär en skärpning, och därför har jag bara velat framför dessa mina synpunkter till beaktande vid eventuella omprövningar eller utarbetande av förslag, som framdeles kunna komma att avlåtas till riksdagen.</w:t>
        <w:br/>
        <w:br/>
        <w:t>Jag har således i den föreliggande situationen, herr talman, intet yrkande vare sig vid 20 8 eller 22 $.</w:t>
      </w:r>
    </w:p>
    <w:p>
      <w:pPr>
        <w:pStyle w:val="Heading2"/>
      </w:pPr>
      <w:r>
        <w:t>2. Sigfrid Hansson (Socialdemokraterna, man)</w:t>
      </w:r>
    </w:p>
    <w:p>
      <w:r>
        <w:rPr>
          <w:b w:val="0"/>
        </w:rPr>
        <w:t>Jag ber endast att få yrka bifall till utskottets hemställan.</w:t>
        <w:br/>
        <w:br/>
        <w:t>Med efterlevande avses i denna paragraf allenast make, barn, som äger rätt till arv efter den avlidne, och adoptivbarn jämte deras avkomlingar samt föräldrar och adoptivföräldrar. Finnes ej annan efterlevande än make, tillfaller hela det enligt första stycket utgående beloppet maken. Finnas jämte make andra efterlevande, tillfaller halva beloppet maken. Belopp, som utgår till andra efterlevande än make, fördelas dem emellan enligt de regler, som gälla för fördelning av arvfallen egendom.</w:t>
      </w:r>
    </w:p>
    <w:p>
      <w:pPr>
        <w:pStyle w:val="Heading2"/>
      </w:pPr>
      <w:r>
        <w:t>3. Pontus Sandström (–, man)</w:t>
      </w:r>
    </w:p>
    <w:p>
      <w:r>
        <w:rPr>
          <w:b w:val="0"/>
        </w:rPr>
        <w:t>Herr talman! Vid utskottets utlåtande finnes fogad en av tre utskottsledamöter från andra kammaren och av mig avgiven reservation, och jag ber nu såsom reservant att få anföra följande.</w:t>
        <w:br/>
        <w:br/>
        <w:t xml:space="preserve">Beträffande fördelningen av det engångsbelopp, som enligt 5 $ i det föreliggande lagförslaget skall tillfalla omkommen sjömans eller "därmed likställds efterlevande, har förslaget icke följt de mellan redareföreningen och de anställda träffade avtalen, vari stadgas, att ett sådant belopp skall tillfalla de personer, som enligt olycksfallsförsäkringslagen äro berättigade till livräntor. Med efterlevande i nämnda paragraf av lagförslaget avses allenast make, barn, som äger rätt till arv efter den avlidne, och adoptivbarn jämte deras avkomlingar samt föräldrar och adoptivföräldrar. Angående fördelningen mellan dessa olika kategorier av efterlevande gäller enligt lagförslaget, att då av dem endast finnes </w:t>
      </w:r>
      <w:r>
        <w:rPr>
          <w:b/>
        </w:rPr>
        <w:t>änka²</w:t>
      </w:r>
      <w:r>
        <w:rPr>
          <w:b w:val="0"/>
        </w:rPr>
        <w:t xml:space="preserve">, </w:t>
      </w:r>
      <w:r>
        <w:rPr>
          <w:b/>
        </w:rPr>
        <w:t>hon²</w:t>
      </w:r>
      <w:r>
        <w:rPr>
          <w:b w:val="0"/>
        </w:rPr>
        <w:t xml:space="preserve"> skall erhålla hela berörda engångsbelopp, att där Jämte </w:t>
      </w:r>
      <w:r>
        <w:rPr>
          <w:b/>
        </w:rPr>
        <w:t>änka²</w:t>
      </w:r>
      <w:r>
        <w:rPr>
          <w:b w:val="0"/>
        </w:rPr>
        <w:t xml:space="preserve"> barn finnas, hälften skall tilldelas </w:t>
      </w:r>
      <w:r>
        <w:rPr>
          <w:b/>
        </w:rPr>
        <w:t>änkan²</w:t>
      </w:r>
      <w:r>
        <w:rPr>
          <w:b w:val="0"/>
        </w:rPr>
        <w:t xml:space="preserve"> och hälften barnen, under det att i detta fall föräldrarna icke erhålla del i beloppet, samt att då </w:t>
      </w:r>
      <w:r>
        <w:rPr>
          <w:b/>
        </w:rPr>
        <w:t>änka²</w:t>
      </w:r>
      <w:r>
        <w:rPr>
          <w:b w:val="0"/>
        </w:rPr>
        <w:t xml:space="preserve"> och föräldrar utgöra de enda efterlevande, </w:t>
      </w:r>
      <w:r>
        <w:rPr>
          <w:b/>
        </w:rPr>
        <w:t>änkan²</w:t>
      </w:r>
      <w:r>
        <w:rPr>
          <w:b w:val="0"/>
        </w:rPr>
        <w:t xml:space="preserve"> skall uppbära hälften och föräldrarna hälften. Om endast barn och föräldrar efterleva, erhålla barnen sålunda hela beloppet. Om make icke efterlever, men barn och föräldrar finnas, undantränga förty enligt förslaget barnen föräldrarna, men föräldrarna dela beloppet med en efterlevande make, såvitt barn ej finnas.</w:t>
        <w:br/>
        <w:br/>
        <w:t xml:space="preserve">Vid lagrådets behandling av lagförslaget hava tre av dess ledamöter såsom sin uppfattning uttalat, att fördelningsreglerna i så måtto borde jämkas, att då de efterlevande utgöras av make och föräldrar, make borde erhålla hela beloppet eller i varje fall större del därav än föräldrarna. Såsom stöd för denna sin uppfattning hava dessa tre lagrådsledamöter bland annat anfört följande: »För det fall åter att endast make och föräldrar leva efter, synes förslaget icke tillräckligt hava tillgodosett makens — i regel </w:t>
      </w:r>
      <w:r>
        <w:rPr>
          <w:b/>
        </w:rPr>
        <w:t>änkas²</w:t>
      </w:r>
      <w:r>
        <w:rPr>
          <w:b w:val="0"/>
        </w:rPr>
        <w:t xml:space="preserve"> — intresse. I flertalet dylika fall lärer </w:t>
      </w:r>
      <w:r>
        <w:rPr>
          <w:b/>
        </w:rPr>
        <w:t>änkan²</w:t>
      </w:r>
      <w:r>
        <w:rPr>
          <w:b w:val="0"/>
        </w:rPr>
        <w:t xml:space="preserve"> i ekonomiskt avseende genom mannens död drabbas ojämförligt hårdare än dennes föräldrar. De fall då mannen i någon väsentlig mån underhåller sina föräldrar, sedan han bildat egen familj, torde icke vara särdeles talrika, och där så skett kan det stöd föräldrarna haft av hans inkomst näppeligen jämföras med det som kommit </w:t>
      </w:r>
      <w:r>
        <w:rPr>
          <w:b/>
        </w:rPr>
        <w:t>hustrun²</w:t>
      </w:r>
      <w:r>
        <w:rPr>
          <w:b w:val="0"/>
        </w:rPr>
        <w:t xml:space="preserve"> till del. Med hänsyn till bestämmelserna om tilldelande av livränta måste de ekonomiska följderna av dödsfallet mindre ofta för föräldrarna bliva av samma genomgripande betydelse som för </w:t>
      </w:r>
      <w:r>
        <w:rPr>
          <w:b/>
        </w:rPr>
        <w:t>hustrun²</w:t>
      </w:r>
      <w:r>
        <w:rPr>
          <w:b w:val="0"/>
        </w:rPr>
        <w:t xml:space="preserve">. En regel, som ger </w:t>
      </w:r>
      <w:r>
        <w:rPr>
          <w:b/>
        </w:rPr>
        <w:t>hustrun²</w:t>
      </w:r>
      <w:r>
        <w:rPr>
          <w:b w:val="0"/>
        </w:rPr>
        <w:t xml:space="preserve"> företräde framför</w:t>
        <w:br/>
        <w:br/>
        <w:t>Med anledning av den erinran och anmärkning, som sålunda framställts av tre ledamöter i lagrådet, har statsrådet och chefen för socialdepartementet uttalat som sin uppfattning, att vid fastställandet av regler rörande fördelning av ifrågavarande engångsbelopp hänsyn icke borde tagas enbart till ekonomiska behovssynpunkter. På grund härav ansåg departementschefen, att om de efterlevande utgöras av make och föräldrar jämväl föräldrarna borde erhålla visst »ideellt skadestånd» för den förlust de lidit och att därvid annan fördelning än hälften till make och hälften till föräldrarna icke lämpligen kunde komma i fråga.</w:t>
        <w:br/>
        <w:br/>
        <w:t>Reservanterna ha, såsom framgår av reservationen, anslutit sig till de synpunkter, som anlagts av lagrådets majoritet, och föreslagit, att om de efterlevande utgöras av make och föräldrar, maken skall erhålla tre fjärdedelar och föräldrarna en fjärdedel. Reservanterna ha som synes vid sitt ståndpunktstagande gått en medelväg och icke velat helt utesluta föräldrarna att i konkurrens med make erhålla viss andel av ifrågavarande belopp.</w:t>
        <w:br/>
        <w:br/>
        <w:t xml:space="preserve">Jag tillåter mig understryka vad som anförts i lagrådet därom, att vid ett dödsfall en efterlämnad </w:t>
      </w:r>
      <w:r>
        <w:rPr>
          <w:b/>
        </w:rPr>
        <w:t>änka²</w:t>
      </w:r>
      <w:r>
        <w:rPr>
          <w:b w:val="0"/>
        </w:rPr>
        <w:t xml:space="preserve"> i de allra flesta fall drabbas mycket hårdare än en avlidens föräldrar. Man torde också kunna säga, att enligt den allmänna uppfattningen en </w:t>
      </w:r>
      <w:r>
        <w:rPr>
          <w:b/>
        </w:rPr>
        <w:t>änka²</w:t>
      </w:r>
      <w:r>
        <w:rPr>
          <w:b w:val="0"/>
        </w:rPr>
        <w:t xml:space="preserve"> står en avliden närmare än dennes far eller </w:t>
      </w:r>
      <w:r>
        <w:rPr>
          <w:b/>
        </w:rPr>
        <w:t>mor²</w:t>
      </w:r>
      <w:r>
        <w:rPr>
          <w:b w:val="0"/>
        </w:rPr>
        <w:t>. Det synes mig alltså vara rätt så inkonsekvent, att efterlevande make enligt den kungl. propositionen skall ha en sämre ställning än efterlämnade barn, vilka senare ju i konkurrens med den avlidnes föräldrar uttränga dessa, om efterlevande make ej finnes.</w:t>
        <w:br/>
        <w:br/>
        <w:t>På grund av formella skäl torde emellertid ett yrkande om bifall till reservationen icke bliva föremål för proposition här i kammaren. Jag har därför, herr talman, intet yrkande.</w:t>
      </w:r>
    </w:p>
    <w:p>
      <w:pPr>
        <w:pStyle w:val="Heading2"/>
      </w:pPr>
      <w:r>
        <w:t>4. Oskar Anshelm Nordborg (–, man)</w:t>
      </w:r>
    </w:p>
    <w:p>
      <w:r>
        <w:rPr>
          <w:b w:val="0"/>
        </w:rPr>
        <w:t>Under Abessinienkriget hemställde Sveriges redareförening till Kungl. Maj:t, att det måtte föranstaltas om en lagstiftning rörande krigsförsäkring av de ombordanställda. De ombordanställdas organisation delade även redareföreningens uppfattning.</w:t>
        <w:br/>
        <w:br/>
        <w:t>Under det nu pågående spanska kriget har frågan ytterligare aktualiserats, och därför har man ånyo gjort en hemställan till Kungl. Maj:t om en dylik lagstiftning. Kungl. Maj:t har då ansett, att villkoret för att någonting sådant skulle kunna ske vore, att en överenskommelse träffades mellan parterna, som sedan skulle kunna användas som grundval för lagstiftningen. Sedan dylika förhandlingar slutförts, gjorde parterna en hemställan till regeringen — hemställan gjordes skriftligt och gemensamt — där man anhöll om lagbestämmelser i enlighet med de grunder, som fastställts i de träffade överenskommelserna. Kungl. Maj:t tillmötesgick parternas önskemål, och resultatet av detta är det lagförslag, som nu föreligger.</w:t>
        <w:br/>
        <w:br/>
        <w:t>Jag ber att i detta sammanhang få framföra ett tack till regeringen för detta lagförslag, som säkerligen kommer att bli till nytta för arbetsfreden och då det gäller att under orostider hålla sjöfarten i gång, men tyvärr måste jag trots detta erkännande framhålla, att lagförslaget i en viktig punkt icke överensstämmer med det avtal, som har träffats mellan organisationerna. Enligt utskottets utlåtande framgår, »att storleken av de engångsbelopp, som förutsättas skola utgå till befälspersoner vid krigsolycksfall, i det föreliggande lagförslaget bestämts på annat sätt än i ovannämnda avtal mellan redareföreningen och befälsorganisationerna. Enligt avtalet skall beräkningen av engångsbeloppen ske på grundval av den enligt grundtaritferna i gällande</w:t>
        <w:br/>
        <w:br/>
        <w:t>Då ingen motivering för denna skärpning av den träffade överenskommelsen kommit till synes i Kungl. Maj:ts förslag, måste man fråga sig vad som har kunnat ge anledning därtill. Utskottet har, sedan jag fört frågan på tal inom utskottet, formulerat en motivering, innebärande att avtalsbestämmelserna i detta fall utav lagtekniska skäl icke kunna införas 1 en lag. Då jag för min del inte kan känna mig övertygad av denna motivering, har jag nödgats avge en reservation för att inför kammaren redogöra för min uppfattning i frågan.</w:t>
        <w:br/>
        <w:br/>
        <w:t>Herr talman! Jag måste uttala mitt beklagande över den i lagtexten vidtagna skärpningen, som i vissa fall kan medföra avsevärd höjning av de ifrågavarande engångsbeloppen. Då jag emellertid förstår, att det nu i riksdagens elfte timme är omöjligt att därvidlag få en ändring till stånd, anser jag det lönlöst att framställa något yrkande. Jag vill bara framhålla, att det blir sjöfarten, som får betala för att lagen blivit sådan den är.</w:t>
      </w:r>
    </w:p>
    <w:p>
      <w:pPr>
        <w:pStyle w:val="Heading2"/>
      </w:pPr>
      <w:r>
        <w:t>5. Sigfrid Hansson (Socialdemokraterna, man)</w:t>
      </w:r>
    </w:p>
    <w:p>
      <w:r>
        <w:rPr>
          <w:b w:val="0"/>
        </w:rPr>
        <w:t>Eftersom varken herr Sandström i Luleå eller herr Nordborg framställt något yrkande, skulle jag kunna inskränka mig till att hemställa om bifall till utskottets förslag. Med anledning av herr Nordborgs yttrande ber jag emellertid att få fästa uppmärksamheten på det förhållandet — som förresten herr Nordborg själv antydde — att det föreliggande lagförslaget grundar sig på ett avtal, som är träffat mellan Sveriges redareförening och vederbörande organisationer på arbetstagarsidan. Detta har medfört, att man på en viss punkt, som herr Nordborg närmare uppehöll sig vid, icke kunnat i lagen föreskriva, att avtalets bestämmelser skola äga tilllämpning. Man har med andra ord icke kunnat i lagen direkt hänvisa till avtalet. Det skulle ju uppstå ett rätt egendomligt förhållande, om man skulle göra det. I utskottets utlåtande heter det härom på sid. 9: »Det torde ur flera synpunkter vara olämpligt att i lagtexten inskriva regler för nyssnämnda beräkning, vilka hänföra sig till bestämmelserna i ett kollektivavtal. Utskottet har icke kunnat undgå att beakta de svårigheter, som skulle uppstå, därest giltighetstiden för ett kollektivavtal utlöpte utan att nytt sådant träffats. Samma svårigheter skulle föreligga i fråga om parter, som stode utanför de avtalsslutande organisationerna. Enligt utskottets mening får betydelsen av den föreliggande skiljaktigheten ej överskattas. Genom att i lagen angivits maximum och minimum för engångsbeloppets storlek kan skiljaktigheten för övrigt förefinnas endast inom den sålunda angivna ramen.» Jag vågar hålla före, att de farhågor, som herr Nordborg gjort sig till tolk för, icke äro av den beskaffenheten, att de kunna utgöra anledning för riksdagen att ändra Kungl. Maj:ts förslag på ifrågavarande punkt.</w:t>
        <w:br/>
        <w:br/>
        <w:t xml:space="preserve">Med anledning av herr Sandströms yttrande vill jag erinra om, att de av honom åberopade tre lagrådsledamöterna själva ha måst medge, att det inte är så lätt att finna en enkel och lättillämpad princip, som under alla förhållanden skulle möjliggöra en tillfredsställande fördelning av det engångsbelopp, som det kan bli fråga om och som herr Sandström uppehöll sig vid. För min del sympatiserar jag med den tanke, som herr Sandström -utvecklade, men å andra sidan får man inte bortse från att det här gäller s. k. ideellt skadestånd. Man kan tänka sig en sådan situation, att en ung </w:t>
      </w:r>
      <w:r>
        <w:rPr>
          <w:b/>
        </w:rPr>
        <w:t>änka²</w:t>
      </w:r>
      <w:r>
        <w:rPr>
          <w:b w:val="0"/>
        </w:rPr>
        <w:t xml:space="preserve"> efter en omkommen sjöman har möjlighet att försörja sig och följaktligen inte är så beroende av</w:t>
        <w:br/>
        <w:br/>
        <w:t xml:space="preserve">Ang. krigsförsäkring för viss fartygspersonal m. m. (Forts.) detta belopp, under det att föräldrarna till den omkomne, som varit beroende av hjälp från honom under hans livstid, kunna vara i starkt behov av stöd. I sådana fall tycker jag det finns mycket som talar för, att föräldrarna beredas möjlighet att få del av det ideella skadestånd, som man här talar om. Men 1 de flesta fall — det medger jag gärna — kan nog situationen vara den, att det är skäligt, att </w:t>
      </w:r>
      <w:r>
        <w:rPr>
          <w:b/>
        </w:rPr>
        <w:t>hustrun²</w:t>
      </w:r>
      <w:r>
        <w:rPr>
          <w:b w:val="0"/>
        </w:rPr>
        <w:t xml:space="preserve"> får beloppet ograverat.</w:t>
        <w:br/>
        <w:br/>
        <w:t>Jag hemställer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807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