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2130</w:t>
      </w:r>
    </w:p>
    <w:p>
      <w:r>
        <w:rPr>
          <w:b/>
        </w:rPr>
        <w:t xml:space="preserve">Datum: </w:t>
      </w:r>
      <w:r>
        <w:t>1938-03-02</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Anders Paulsen (Socialdemokraterna, man)</w:t>
      </w:r>
    </w:p>
    <w:p>
      <w:r>
        <w:rPr>
          <w:b w:val="0"/>
        </w:rPr>
        <w:t xml:space="preserve">Herr talman! Det kan synas, som om denna motion vore tämligen överflödig, då riksdagen så sent som 1936 skrev till Kungl. Maj:t i denna sak. Då emellertid någon proposition ännu icke kommit, kan man mycket väl förstå att motionärerna här velat ge frågan en stöt framåt. Det synes mig emellertid, som om man icke behövde göra en så förfärligt lång utredning i denna sak, ty vad är det, som skall behöva utredas? J o, man skall naturligtvis utreda om allt det intrång, som en sådan lagändring kommer att medföra för de inom äktenskapet födda barnen, och om all den förargelse, som kommer att vållas i familjerna, men detta är dock saker, som äro fullkomligt ostridiga. Därom behövs ingen utredning, och rättfärdigheten kräver, att lagen ändras dithän, att de utomäktenskapliga barnen få samma arvsrätt som inom äktenskapet födda barn. Det utom äktenskapet födda barnet bör icke få lida för att dess fader glömt att sätta vigselringen på dess </w:t>
      </w:r>
      <w:r>
        <w:rPr>
          <w:b/>
        </w:rPr>
        <w:t>mor²</w:t>
      </w:r>
      <w:r>
        <w:rPr>
          <w:b w:val="0"/>
        </w:rPr>
        <w:t>, innan avlelsen började. Jag kan icke förstå, att man skall behöva dröja så länge med denna sak, då mer än två år gått, sedan riksdagen skrev till Kungl. Maj:t. Och jag vill hoppas, att denna motion skall ge saken en ny stöt framåt, så att vi kunna få motse en proposition innan denna riksdags slut.</w:t>
      </w:r>
    </w:p>
    <w:p>
      <w:pPr>
        <w:pStyle w:val="Heading2"/>
      </w:pPr>
      <w:r>
        <w:t>2. Thorwald Bergquist (Folkpartiet, man)</w:t>
      </w:r>
    </w:p>
    <w:p>
      <w:r>
        <w:rPr>
          <w:b w:val="0"/>
        </w:rPr>
        <w:t>Herr talman! I den föreliggande motionen har framlagts förslag om ändring i gällande lag om adoption. Enligt den nuvarande</w:t>
        <w:br/>
        <w:br/>
        <w:t>Nu har det nog under tillämpningen av denna lag, som varit i kraft i 20 år, visat sig i praktiken ofta förekomma fall, då det skulle ha varit mycket önskvärt, att äkta makar med bröstarvingar skulle få adoptera, men där gällande lagstiftning har lagt hinder i vägen härför. Den fråga, som på detta område särskilt tilldragit sig uppmärksamheten, har varit de barnfuttiga familjerna, alltså familjer med endast ett barn. Det har ju ofta framhållits, att det icke är nyttigt för ett barn att växa upp alldeles ensam i en familj, utan att det för barnets eget bästa är nyttigare, att det kan få en kamrat, som fostras tillsammans med barnet. Den nuvarande lagstiftningen ger, om man tolkar den strängt efter bokstaven, icke rätt att bevilja adoption i dylika fall. I ett sådant fall föreligga nämligen icke, i varje fall icke enligt lagstiftarnas mening, sådana synnerliga skäl, som skulle möjliggöra för äkta makar med bröstarvingar att få adoptera.</w:t>
        <w:br/>
        <w:br/>
        <w:t>I den motion, som här föreligger, har särskilt understrukits, att det är ett allmänt önskemål och ett önskemål av ganska stor betydelse, att barnfattiga äkta makar, som kanske av en eller annan anledning icke kunna få flera barn. skola erhålla rätt adoptera ett utomstående barn för att därigenom skaffa en kamrat åt det ensamma egna barnet. Enligt min mening äro just de omständigheter, som jag här anfört, av ganska stor betydelse.</w:t>
        <w:br/>
        <w:br/>
        <w:t>Man kan nog säga, att hos domstolarna har man icke märkt så stora olägenheter av den nuvarande lagstiftningen. I mycket beror nog detta emellertid därpå, att föräldrar, som vända sig till en advokat eller annan med dessa förhållanden förtrogen person för att höra sig för om möjligheterna att få adoptera, ha av advokaten eller den, som de vänt sig till, fått beskedet, att det icke lönar sig, därför att lagen icke ger rätt till adoption i sådana fall. Jag tror. att det skulle vara av stort värde att få till stånd en uppmjukning av adoptivlagen i detta fall, så att det icke skulle krävas så stränga förutsättningar, som nu gälla, för att äkta makar med bröstarvingar skulle få adoptera. Därför ha också åtskilliga ledamöter av utskottet funnit det vara önskvärt att få en uppmjukning av den nuvarande lagstiftningen.</w:t>
        <w:br/>
        <w:br/>
        <w:t>Jag ber med denna korta motivering, herr talman. att få yrka bifall till den föreliggande motionen.</w:t>
      </w:r>
    </w:p>
    <w:p>
      <w:pPr>
        <w:pStyle w:val="Heading2"/>
      </w:pPr>
      <w:r>
        <w:t>3. Axel Lindqvist (Socialdemokraterna, man)</w:t>
      </w:r>
    </w:p>
    <w:p>
      <w:r>
        <w:rPr>
          <w:b w:val="0"/>
        </w:rPr>
        <w:t>Herr talman! Utskottet har vid sitt avstyrkande av den föreliggande motionen erkänt det behjärtansvärda i motionens syfte, men utskottet har icke funnit, att motionärerna ha framlagt tillräckligt starka skäl för en riksdagsskrivelse i frågan. Att man var så gott som fullständigt enig i första lagutskottet härom, visas därav, att ingen i utskottet begärde omröstning om ett bifall till motionen. Sedan beslutet fattades 1 utskottet om avstyr-</w:t>
        <w:br/>
        <w:br/>
        <w:t xml:space="preserve">Det är kanske icke så många av kammarens ledamöter, som nu ha motionen tillgänglig, men om ni hade det, skulle ni se, att den är utomordentligt kortfattad. Motionärerna ha icke besvärat sig med att skriva mer än 7 rader i denna motion. Allt det övriga är endast citat från ett uttalande, som gjorts av en </w:t>
      </w:r>
      <w:r>
        <w:rPr>
          <w:b/>
        </w:rPr>
        <w:t>kvinnlig¹</w:t>
      </w:r>
      <w:r>
        <w:rPr>
          <w:b w:val="0"/>
        </w:rPr>
        <w:t xml:space="preserve"> advokat.</w:t>
        <w:br/>
        <w:br/>
        <w:t>Vi ha som sagt inom utskottet erkänt det behjärtansvärda syftet med motionen, men vi ha icke funnit, att det påvisats föreligga något behov av en lagändring. Tvärtom har det under utskottsbehandlingen framkommit, att den nuvarande lagen mycket väl kan tolkas på sådant sätt, att det icke möter någon större svårighet att bifalla en framställd begäran om adoption. Nu är det emellertid, såsom herr vice ordföranden nyss påpekat, icke så lätt att få fram i hur många fall adoption har nekats, enär det kan ligga så till, att vederbörande ha vänt sig till en advokat, vilken med hänvisning till lagens bestämmelser har avrått dem från att göra ansökan om adoption. Ingen gång har emellertid vare sig i utskottet eller i motionen framhållits, att, såsom herr vice ordföranden här sade, lagen i många fall skulle ha visat sig vara alltför sträng. Detta har man icke kunnat visa. Vi, som tillhöra utskottsmajoriteten, ha den uppfattningen, att om det verkligen föreligger behov av en lagändring, så böra motionärerna till ett kommande år komma fram med starkare bevis för att en sådan ändring är behövlig än vad man gjort i år. Det är detta, som gjort, att utskottsmajoriteten icke nu velat vara med om en riksdagsskrivelse i frågan.</w:t>
        <w:br/>
        <w:br/>
        <w:t>Jag ber, herr talman,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2130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