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2140</w:t>
      </w:r>
    </w:p>
    <w:p>
      <w:r>
        <w:rPr>
          <w:b/>
        </w:rPr>
        <w:t xml:space="preserve">Datum: </w:t>
      </w:r>
      <w:r>
        <w:t>1938-04-01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Solveig Rönn Christiansson (Vänsterpartiet, woman)</w:t>
      </w:r>
    </w:p>
    <w:p>
      <w:r>
        <w:rPr>
          <w:b w:val="0"/>
        </w:rPr>
        <w:t>Herr talman! Jag tror icke, att det är överord, om man slår fast, att utskottet vid behandlingen av denna fråga varit allt annat än enhälligt. Man tycks här hava följt samma princip, som en detektivförfattare, vilken först löser problemet och sedan bygger upp intrigen. Utskottet synes först hava bestämt sig för innehållet i sitt yrkande och därefter avfattat motiveringen.</w:t>
        <w:br/>
        <w:br/>
        <w:t>Vår motion har föranlett en del pressuttalanden. Jag kan icke underlåta att påtala exempelvis vad Svenska Morgonbladet har presterat i en artikel, som begicks den 22 mars i år. Att artikelförfattaren glömt bort att vara Journalistiskt hyfsad får stå för hans egen räkning, men han har gjort sig skyldig till att politisera frågan. Han har kritiserat förslagsställarna och icke förslaget. En sådan kritik är allt annat än positiv.</w:t>
        <w:br/>
        <w:br/>
        <w:t xml:space="preserve">Utskottets motivering tyckes vara direkt avskriven efter en artikel i Svensk Lärartidning för den 5 mars. Där giva lärarna sig själva ett kraftigt underbetyg. Lärarna synas anse, att rätten att utdela aga bör bibehållas för deras skull. Detta giver anledning till en stilla undran, huruvida läroverken hava bättre pedagoger än folkskolan, eftersom folkskolans lärare måste hava paragrafen om skolagan såsom ett stöd. Med lika litet fog kan man sätta likhetstecken mellan folkskollärare och pedagog, som man kan säga, att en </w:t>
      </w:r>
      <w:r>
        <w:rPr>
          <w:b/>
        </w:rPr>
        <w:t>kvinna¹</w:t>
      </w:r>
      <w:r>
        <w:rPr>
          <w:b w:val="0"/>
        </w:rPr>
        <w:t xml:space="preserve"> är lämpad att fostra ett barn, därför att </w:t>
      </w:r>
      <w:r>
        <w:rPr>
          <w:b/>
        </w:rPr>
        <w:t>hon²</w:t>
      </w:r>
      <w:r>
        <w:rPr>
          <w:b w:val="0"/>
        </w:rPr>
        <w:t xml:space="preserve"> fött barnet. I nämnda tidnings-</w:t>
        <w:br/>
        <w:br/>
        <w:t xml:space="preserve">De åsikter, som komma till uttryck i den moderna litteraturen på det barnpsykologiska området, bruka hälsas med gillande, och i teorien frambhålles, att vad som där säges är hälsosamt och nödvändigt. På ifrågavarande område har Stina Palmborg utfört ett utomordentligt arbete. </w:t>
      </w:r>
      <w:r>
        <w:rPr>
          <w:b/>
        </w:rPr>
        <w:t>Hon²</w:t>
      </w:r>
      <w:r>
        <w:rPr>
          <w:b w:val="0"/>
        </w:rPr>
        <w:t xml:space="preserve"> har ett klart begrepp i fråga om orsak och verkan. </w:t>
      </w:r>
      <w:r>
        <w:rPr>
          <w:b/>
        </w:rPr>
        <w:t>Hon²</w:t>
      </w:r>
      <w:r>
        <w:rPr>
          <w:b w:val="0"/>
        </w:rPr>
        <w:t xml:space="preserve"> förstår, att det ofta är miljön i hemmen, som sätter sin prägel på barnen, och </w:t>
      </w:r>
      <w:r>
        <w:rPr>
          <w:b/>
        </w:rPr>
        <w:t>hon²</w:t>
      </w:r>
      <w:r>
        <w:rPr>
          <w:b w:val="0"/>
        </w:rPr>
        <w:t xml:space="preserve"> giver utomordentligt bra exempel, som belysa barnuppfostringsfrågan ur social synpunkt. TI en artikel, som för icke så länge sedan publicerades i tidningen Idun, nämnde </w:t>
      </w:r>
      <w:r>
        <w:rPr>
          <w:b/>
        </w:rPr>
        <w:t>hon²</w:t>
      </w:r>
      <w:r>
        <w:rPr>
          <w:b w:val="0"/>
        </w:rPr>
        <w:t xml:space="preserve">, att </w:t>
      </w:r>
      <w:r>
        <w:rPr>
          <w:b/>
        </w:rPr>
        <w:t>hon²</w:t>
      </w:r>
      <w:r>
        <w:rPr>
          <w:b w:val="0"/>
        </w:rPr>
        <w:t xml:space="preserve"> själv en gång fick bakläxa utav en elev.</w:t>
        <w:br/>
        <w:br/>
        <w:t>För några dagar sedan diskuterades här i kammaren anslaget till Erikastiftelsen, och herr Lindén framhöll då vikten av, att man beaktade miljöns, hemmens, betydelse för barnen. Det kan konstateras, att det är de svaga lärarna, som behöva denna agaparagraf. Det är lärarna, som behöva utvecklas. Ju mer svårhanterligt ett barn är, desto ärorikare måste det givetvis vara för läraren att kunna uppfostra barnet. Ju svårare uppgiften är, desto större skicklighet fordras det för att lösa den. Det gäller icke att kuva utan att fostra barnen.</w:t>
        <w:br/>
        <w:br/>
        <w:t>Det har sagts, att hårda sinnen behöva hård tukt. Detta är ett ordstäv, som absolut icke hör hemma i vår tid. Det är ganska naturligt, att ett barn måste hata en fostrare, som har detta ordstäv som princip. Man kan visserligen med tillhjälp av aga kuva barnet, men har barnet blivit kuvat, så att det av rena skrämselmotiv håller sig relativt lugnt i skolan, kan det inträffa, att detta i ungdomsåren resulterar i nervösa utbrott med farliga konsekvenser. Konsten är givetvis att bliva god vän med barnen, och trofastare vän än en liten barnasjäl kan man väl icke få. Konsten är att kunna känna icke bara för barnet utan också med barnet. Vi vilja givetvis hava frimodiga och icke framfusiga barn. Men just de barn, som komma från arbetarhem, besitta icke, på grund av allehanda förhållanden, den frimodighet, som vore önskvärd och som gör att de kunna fostras till stolta, målmedvetna människor.</w:t>
        <w:br/>
        <w:br/>
        <w:t>Det blir väl dock skillnad mellan de välklädda, välnärda barnen, som gå i läroverk och lära sig religionshistoria, och de undernärda, dåligt klädda barnen, som gå 1 folkskolan och lära sig kristendomskunskap.</w:t>
        <w:br/>
        <w:br/>
        <w:t>Hotet om straff blir i regel bestämmande för, huruvida barnen göra det som är rätt eller det som är galet. Det gäller att odla viljan till vad som är sunt och riktigt.</w:t>
        <w:br/>
        <w:br/>
        <w:t>I lärartidningen säges bland annat, att om agaparagrafen kommer bort, så ställes folkskolan fullständigt skyddslös. Och likaså är man indignerad över, att vi talat om prygel. Både i utskottets utlåtande och i lärartidningen citeras de bestämmelser i folkskolestadgan, varigenom regleras, under vilka förhållanden aga bör utdelas. Aga bör givas med »kärleksfullt ansvar». Att en lärare är hastigt uppbrusande, kan ett barn förstå, men det är just det lugna förberedandet, som verkar psykiskt nedrivande på barnet.</w:t>
        <w:br/>
        <w:br/>
        <w:t xml:space="preserve">Vi hava ett glänsande exempel på det i den skolaffär, som förekom i Sofia folkskola för icke så länge sedan. </w:t>
      </w:r>
      <w:r>
        <w:rPr>
          <w:b/>
        </w:rPr>
        <w:t>Lärarinnan³</w:t>
      </w:r>
      <w:r>
        <w:rPr>
          <w:b w:val="0"/>
        </w:rPr>
        <w:t xml:space="preserve">, som var i sin lagliga rätt att utdela aga, utdelade agan på sådant sätt som föreskrives i ifrågavarande paragraf, d. v. s. med kärleksfullt allvar. </w:t>
      </w:r>
      <w:r>
        <w:rPr>
          <w:b/>
        </w:rPr>
        <w:t>Hon²</w:t>
      </w:r>
      <w:r>
        <w:rPr>
          <w:b w:val="0"/>
        </w:rPr>
        <w:t xml:space="preserve"> hade hotat klassen: »vänta bara!</w:t>
        <w:br/>
        <w:br/>
        <w:t xml:space="preserve">Ett annat exempel hava vi från Junsele. En aktivt arbetande socialdemokrat meddelar följande: modern till en pojke hade bett honom utföra ett arbete i hemmet. Pojken hade med anledning därav begärt att få lov ifrån skolan. Han hade icke träffat läraren utan dennes </w:t>
      </w:r>
      <w:r>
        <w:rPr>
          <w:b/>
        </w:rPr>
        <w:t>hustru²</w:t>
      </w:r>
      <w:r>
        <w:rPr>
          <w:b w:val="0"/>
        </w:rPr>
        <w:t xml:space="preserve">, och </w:t>
      </w:r>
      <w:r>
        <w:rPr>
          <w:b/>
        </w:rPr>
        <w:t>hon²</w:t>
      </w:r>
      <w:r>
        <w:rPr>
          <w:b w:val="0"/>
        </w:rPr>
        <w:t xml:space="preserve"> hade lovat att framföra hans ärende till läraren. När pojken nästa gång kom till skolan, fick han prygel. Det måste kallas att giva prygel, då man använder ett hundkoppel att slå med. Vi hava icke använt något överord, när vi begagnat ordet prygel. Detta var alltså ett par exempel på kärleksfull aga, som utdelats under ansvar.</w:t>
        <w:br/>
        <w:br/>
        <w:t>Det var säkerligen många, som blevo ganska upprörda över de interiörer, som blottades, när man satte i gång utredning vid skyddshemmen. De principiella anhängarna av agan borde givetvis trätt fram och betygat sin glädje, ty där hade just använts det fostringsmedel, som man fortfarande vill hava kvar, nämligen agan.</w:t>
        <w:br/>
        <w:br/>
        <w:t xml:space="preserve">Utskottet har bemödat sig om att citera vad lärarna haft att säga. Lärarna måste ju dock anses som parter i målet. De, som också skulle kunna hava haft något att säga, vore givetvis skolbarnens föräldrar, men man letar förgäves efter något uttryck för deras uppfattning i utskottets utlåtande. Herr Lithander framhöll för några dagar sedan, vilken viktig institution kungl. medicinalstyrelsen är. Kungl. medicinalstyrelsen har ju tillstyrkt vår motion, men i utskottets utlåtande aktar man sig just för att framhäva detta. Vidare skulle jag vilja hänvisa till </w:t>
      </w:r>
      <w:r>
        <w:rPr>
          <w:b/>
        </w:rPr>
        <w:t>fru²</w:t>
      </w:r>
      <w:r>
        <w:rPr>
          <w:b w:val="0"/>
        </w:rPr>
        <w:t xml:space="preserve"> Kleens artikel i Stockholms-Tidningen. </w:t>
      </w:r>
      <w:r>
        <w:rPr>
          <w:b/>
        </w:rPr>
        <w:t>Fru²</w:t>
      </w:r>
      <w:r>
        <w:rPr>
          <w:b w:val="0"/>
        </w:rPr>
        <w:t xml:space="preserve"> Kleen har uträttat ett utomordentligt gott arbete för skyddshemmens vidkommande, ett arbete som naturligtvis kan karakteriseras såsom sakkunnigt.</w:t>
        <w:br/>
        <w:br/>
        <w:t>Man måste konstatera, att vi icke kommit så långt i utveckling, när diskussionen i dag rör sig om aga eller icke aga. Utskottet är indignerat över att vi framställt frågan som en klassfråga. Men varför är den enligt vår åsikt en klassfråga? Jo, därför att frågan är aktuell för småfolket. I läroverksstadgan fastslås, att kroppslig bestraffning under inga förhållanden må förekomma och framför allt betonas, att bestraffning icke får vara sådan, att den lämnar kvar bitterhet och modlöshet. Men det är just bitterhet och modlöshet, som folkskolans barn känna, när de gå till skolan, och därtill kommer ytterligare skräcken för aga.</w:t>
        <w:br/>
        <w:br/>
        <w:t>Jag tror, att det icke var någon, som i den debatt, vilken år 1937 hölls om lärarkårens löner, som inte gav tillkänna sin aktning för det betungande och svåra arbete, som lärarna hava att utföra. Vi vilja även nu understryka, att detta arbete är svårt och ansvarsfullt, men tillika vilja vi framhålla, att en lärare har alla en vanlig människas svagheter. En lärare kan bliva nervös utav rent privata orsaker. Det kan hända, att han icke alltid är så balanserad som han borde vara. Därför blir denna paragraf för honom ett stöd gentemot barnen. Men beträffande folkskolan finnas inga kompletterande bestämmelser motsvarande dem, som finnas i läroverksstadgan. Sådana bestämmelser skulle givetvis icke gå väl ihop med agaparagrafen.</w:t>
        <w:br/>
        <w:br/>
        <w:t>På skolans områden kan Sovjetunionen tjäna till föredöme. I Sovjetunionen är det i lag förbjudet att utdela aga. Detta gäller beträffande alla barn. I Sverige har man sådana bestämmelser endast för läroverksbarn, för de socialt</w:t>
        <w:br/>
        <w:br/>
        <w:t>Herr talman! Jag vill med dessa ord be att få yrka bifall till motionen.</w:t>
      </w:r>
    </w:p>
    <w:p>
      <w:pPr>
        <w:pStyle w:val="Heading2"/>
      </w:pPr>
      <w:r>
        <w:t>2. Carl Hoppe (Socialdemokraterna, man)</w:t>
      </w:r>
    </w:p>
    <w:p>
      <w:r>
        <w:rPr>
          <w:b w:val="0"/>
        </w:rPr>
        <w:t xml:space="preserve">Herr talman! Den föregående ärade talarinnan talade mot agan och gjorde det delvis på ett både elegant och övertygande sätt. </w:t>
      </w:r>
      <w:r>
        <w:rPr>
          <w:b/>
        </w:rPr>
        <w:t>Hon²</w:t>
      </w:r>
      <w:r>
        <w:rPr>
          <w:b w:val="0"/>
        </w:rPr>
        <w:t xml:space="preserve"> anförde en del bokstavligen slående argument, men </w:t>
      </w:r>
      <w:r>
        <w:rPr>
          <w:b/>
        </w:rPr>
        <w:t>hon²</w:t>
      </w:r>
      <w:r>
        <w:rPr>
          <w:b w:val="0"/>
        </w:rPr>
        <w:t xml:space="preserve"> inskränkte sig icke till att tala emot agan, utan </w:t>
      </w:r>
      <w:r>
        <w:rPr>
          <w:b/>
        </w:rPr>
        <w:t>hon²</w:t>
      </w:r>
      <w:r>
        <w:rPr>
          <w:b w:val="0"/>
        </w:rPr>
        <w:t xml:space="preserve"> utdelade också själv så gott </w:t>
      </w:r>
      <w:r>
        <w:rPr>
          <w:b/>
        </w:rPr>
        <w:t>hon²</w:t>
      </w:r>
      <w:r>
        <w:rPr>
          <w:b w:val="0"/>
        </w:rPr>
        <w:t xml:space="preserve"> kunde aga, och det var sannerligen icke bara små snärtar. Då </w:t>
      </w:r>
      <w:r>
        <w:rPr>
          <w:b/>
        </w:rPr>
        <w:t>hon²</w:t>
      </w:r>
      <w:r>
        <w:rPr>
          <w:b w:val="0"/>
        </w:rPr>
        <w:t xml:space="preserve"> väl avsåg att tillämpa regeln i folkskolestadgan att utdela aga med kärleksfullt allvar, borde vi väl känna oss uteslutande tacksamma. Det betänkligaste med aga, liksom med andra tillrättavisningar, är emellertid, om den av den bestraffade känns såsom en orättvisa. Utskottet finner den utdelade agan icke rättvis och väl motiverad. Observera talarinnans jämförelser mellan dess motivering och intrigen i en detektivroman.</w:t>
        <w:br/>
        <w:br/>
        <w:t xml:space="preserve">Med ett visst nöje och delvis med ett tyst instämmande lyssnade jag till </w:t>
      </w:r>
      <w:r>
        <w:rPr>
          <w:b/>
        </w:rPr>
        <w:t>fru²</w:t>
      </w:r>
      <w:r>
        <w:rPr>
          <w:b w:val="0"/>
        </w:rPr>
        <w:t xml:space="preserve"> Rönn-Christianssons framställning. Jag hoppas nämnda </w:t>
      </w:r>
      <w:r>
        <w:rPr>
          <w:b/>
        </w:rPr>
        <w:t>dam²</w:t>
      </w:r>
      <w:r>
        <w:rPr>
          <w:b w:val="0"/>
        </w:rPr>
        <w:t xml:space="preserve"> ursäktar min brist på ridderlighet, när jag dock måste säga, att </w:t>
      </w:r>
      <w:r>
        <w:rPr>
          <w:b/>
        </w:rPr>
        <w:t>hennes²</w:t>
      </w:r>
      <w:r>
        <w:rPr>
          <w:b w:val="0"/>
        </w:rPr>
        <w:t xml:space="preserve"> anförande ändå på sätt och vis beredde mig en missräkning. Jag hade, liksom förmodligen litet var av utskottets ledamöter, hoppats, att motionärerna och deras meningsfränder skulle varit rätt belåtna med vårt utlåtande. Utskottet har visserligen yrkat avslag på motionen, men samtidigt givit uttryck åt en bestämd önskan om utredning av frågan i dess helhet.</w:t>
        <w:br/>
        <w:br/>
        <w:t xml:space="preserve">För mig personligen är det synnerligen angeläget att säga ifrån, att utskottets avslagsyrkande icke får tolkas så, som om utskottet ansett, att allt vore gott och bra den dag som i dag är. Jag vet mycket väl, att det förekommit, och beklagligtvis icke så sällan, att lärare använt aga även i fall, då verkligt goda, insiktsfulla och ansvarskännande lärare skulle valt andra uppfostringsmedel. Genom </w:t>
      </w:r>
      <w:r>
        <w:rPr>
          <w:b/>
        </w:rPr>
        <w:t>fru²</w:t>
      </w:r>
      <w:r>
        <w:rPr>
          <w:b w:val="0"/>
        </w:rPr>
        <w:t xml:space="preserve"> Rönn-Christianssons anförande hava vi ju ock blivit påminta om, att lärare icke alltid visat sig vuxna sitt stora och ansvarsfulla kall, utan ibland gjort sig skyldiga till synnerligen beklagliga övergrepp mot barnen.</w:t>
        <w:br/>
        <w:br/>
        <w:t>Jag skyndar mig emellertid att framhålla, att vad jag då erinrat om, på intet sätt hindrar mig att ge uttryck åt den uppfattningen, att den ojämförligt största delen av lärarna i våra svenska folkskolor är av den höga kvalitet, att vi med tacksamhet och trygghet kunna överlämna våra barn åt deras fostran.</w:t>
        <w:br/>
        <w:br/>
        <w:t>Jag går nu att säga några ord om motiveringen för utskottets ställningstagande. Jag skall försöka att helt kort i fyra olika punkter anföra vad som varit skälet för vårt avslagsyrkande.</w:t>
        <w:br/>
        <w:br/>
        <w:t>Det första är, att så sent som 1936 har Kungl. Maj:t fastställt de nuvarande bestämmelserna. De gällande bestämmelserna hava framgått efter en framstöt som gjordes av svenska fattigvårdsoch barnavårdsförbundet, och som på sitt sätt var lik den motionärerna nu gjort. Jag förmenar för min del, att det är att begära litet för mycket av Kungl. Maj:t, när man ifrågasätter, att Kungl. Maj:t i år skulle vara redo att utan vidare springa från den ståndpunkt, som Kungl. Maj:t intog för bara två år sedan.</w:t>
        <w:br/>
        <w:br/>
        <w:t>För det andra: de som i vårt samhälle närmast hava ansvaret för ungdomen i småoch folkskolorna, äro våra lärare. Lärarorganisationerna liksom skolöverstyrelsen, som väl också lika starkt känner sitt ansvar, hava bestämt och på ett i det stora hela taget mycket samstämmigt sätt avstyrkt bifall till det</w:t>
        <w:br/>
        <w:br/>
        <w:t>Den tredje synpunkten är, att frågan om aga i folkskolan borde, såvitt jag förstår, sättas in 1 större sammanhang. Det har utskottet gjort, när det i sitt utlåtande uttalat den förhoppningen, att om en utredning kommer till stånd, denna bör omfatta hela frågan om samhälleliga myndigheters rätt att utdela aga. Som det för närvarande är, hava exempelvis barnavårdsnämnder och skyddshem rätt att utdela aga. Låt oss antaga, att det bleve förbjudet att använda aga i folkskolan! Vi hava anledning att misstänka, att icke så få kanske av folkskolans mera besvärliga klientel, de svåruppfostrade eleverna, då komme att remitteras till barnavårdsnämnderna och skyddshemmen. Där skulle de eventuellt komma att bli föremål för den aga, som folkskolan icke hade rätt att giva dem. Jag tvekar ej att säga, att det är en brutalisering av straffet för barnet, då det skall skickas till barnavårdsnämnden eller, vad som är ännu mycket betänkligare, via barnavårdsnämnden till skyddshem.</w:t>
        <w:br/>
        <w:br/>
        <w:t>När jag talar om skyddshemmen, skall jag taga mig friheten lämna en liten uppgift, som kanske ej är bekant för alla. Någon gång i vintras — jag tror det var i december 1937 — voro de manliga skyddshemsföreståndarna samlade kring socialministern. Man kom då överens om, att 1938 skulle man ej i sin fostrande verksamhet använda aga. Nu menar jag, att det skulle vara utomordentligt lämpligt att använda sig av de erfarenheter och rön, som man gör vid skyddshemmen detta år.</w:t>
        <w:br/>
        <w:br/>
        <w:t>Det sista skälet för utskottets avslagsyrkande är, att innan folkskolan berövas möjligheterna att gentemot de mera svårfostrade eleverna använda aga, torde det vara klokt att undersöka andra vägar och andra möjligheter att komma till rätta med elever, som vålla lärarna särskilt besvär och verka på ett eller annat sätt störande.</w:t>
        <w:br/>
        <w:br/>
        <w:t>Jag vill här nämna ett par saker. Det är uppenbart, att om man kunde komma därhän, att läraravdelningarna bleve väsentligt mindre, skulle vederbörande lärare få mycket bättre tillfälle att individualisera sin omvårdnad och fostran. Detta skulle undanröja många nu besvärliga uppfostringssvårigheter.</w:t>
        <w:br/>
        <w:br/>
        <w:t>Vidare är det en sak, som ligger mig synnerligen varmt om hjärtat. I medicinalstyrelsens yttrande — det hava vi icke gömt undan utan skola gärna taga fram — har pekats på, att en hel del grövre förseelser, som förövas av barn, begås av barn, som äro mer eller mindre ärftligt belastade, psykopatiska 0. 8. v. Dessa skola självfallet icke agas. Det är riktigt. Vi "kunna Ju icke ute i kommunerna skapa fram rådfrågningsbyråer, som man gjort t. ex. i Stockholm, där man kan få råd och hjälp att komma till rätta med dessa fall. Jag tror emellertid, att det icke är omöjligt att ordna så, att varje lärare i folkskolan åtmins.vone en gång varje termin finge tillfälle att samråda med en psykiatriskt utbildad barnläkare, som kunde giva råd om barnens fostran i allmänhet och alldeles särskilt, när det gällde de svårhanterliga barnen. Skulle det kunna bliva så, att sådana t. ex. länsvis anställda, psykiatriskt utbildade barnläkare stå till folkskolans förfogande, är jag övertygad, att många nu besvärliga uppfostringsproblem skulle lösas till skolans, barnens och lärarnas fromma.</w:t>
        <w:br/>
        <w:br/>
        <w:t>Herr talman! Även om jag icke är någon vän av aga, vill jag ej bestrida, att aga har gjort och kan göra gagn 1 enskilda fall. Men å andra sidan är Jag övertygad, att vid användandet av aga ligger det så snubblande nära att begå misstag, och att sådana misstag kunna hava mycket ödesdigra följder. Därför är det min livliga önskan, att en utredning i frågan skall komma till</w:t>
        <w:br/>
        <w:br/>
        <w:t>Jag vill till sist bara säga, att min personliga inställning till detta problem är sådan, att jag livligt hoppas, att den utredning, som jag önskar skall komma till stånd — gärna på initiativ från samma håll varifrån man kommit nu — måtte föra till att det visar sig, att det är möjligt att komma bort från agan såväl i folkskolan som i barnavårdsnämnder och skyddshem.</w:t>
        <w:br/>
        <w:br/>
        <w:t>Herr talman! Då utskottet för sin del icke haft möjlighet att begära en utredning, som går utanför ramen av yrkandet i motionen, har jag intet annat för närvarande att göra än att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2140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