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2149</w:t>
      </w:r>
    </w:p>
    <w:p>
      <w:r>
        <w:rPr>
          <w:b/>
        </w:rPr>
        <w:t xml:space="preserve">Datum: </w:t>
      </w:r>
      <w:r>
        <w:t>1938-05-03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Gustav Tengström (Folkpartiet, man)</w:t>
      </w:r>
    </w:p>
    <w:p>
      <w:r>
        <w:rPr>
          <w:b w:val="0"/>
        </w:rPr>
        <w:t>Herr talman! Debatten i dag har på mig gjort ett intryck av att man har varit närvarande vid en trolleriföreställning, där konstitutionsutskottets majoritet försökt att med metoder å la Dante trolla bort en del objektiva förhållanden, som man — och speciellt personer, som utom konstitutionsutskottet ha varit inne i förhållandena — inte har kunnat blunda för. Det hör samman med detta sätt att trolla, att vi här få diskutera olika frågor omväxlande med varandra. Jag skall be att få återföra debatten till den fråga, som har — det vågar jag påstå — inte bara väckt oro bland statstjänarna utan upprört opinionen inom dessa kretsar.</w:t>
        <w:br/>
        <w:br/>
        <w:t>Jag brukar inte ta till orda i sådana här frågor, då jag vet, att vi som representera statstjänarna knappast ha det moraliska stöd inom kamrarna,</w:t>
        <w:br/>
        <w:br/>
        <w:t>Det var herr Sundström i Skövde, som gjorde sig till talesman för majoriteten inom konstitutionsutskottet, när det gällde denna utnämning, och han uttalade några satser, som voro av sådan beskaffenhet att jag mot min vilja måste begära ordet. Han påpekade där, att konstitutionsutskottet inte kunde sätta sig till domare över Kungl. Maj:ts utnämningsbefogenhet, därför att man där saknade den fackkunskap, som man skulle behöva för att kunna rätt bedöma dessa saker. Jag tror, att han underskattar konstitutionsutskottets sakkunskap i detta avseende, och jag vill tillägga, att i det speciella fall, som det här rör sig om, sakkunskapen inom konstitutionsutskottet kan stödja sig på en enhällig sakkunskap inom skolöverstyrelsen. Jag skulle för övrigt vilja fråga, huruvida man är fullkomligt säker på att den sakkunskap, som finns inom ecklesiastikdepartementet, från början har varit inne på ecklesiastikministerns linje. Jag tror, att konstitutionsutskottet kan med stor ro behandla frågor av denna beskaffenhet, speciellt i ett sådant fall som detta, där de objektiva grunderna för en undersökning inte äro av den beskaffenhet, som herr Sundström påstår, nämligen att skillnaden mellan de sökande inte är så stor att man på den kan grunda ett omdöme, som är avvikande från det som Kungl. Maj:t kommit till. Jag skall tillåta mig att med den kännedom jag har sedan många år tillbaka om det sätt, på vilket dessa frågor behandlas, påpeka ett par synpunkter.</w:t>
        <w:br/>
        <w:br/>
        <w:t>Det är ju så, att man vid utnämningar av detta slag har att skilja på tre befordringsgrunder. Den första gäller skickligheten i undervisning, den andra gäller själva kunskaperna och den tredje tjänstgöringstidens längd. Men dessutom tillkommer här en fjärde synpunkt, nämligen den att det är fråga om tillsättning av en tjänst vid ett provårsläroverk, alltså vid ett läroverk, som befinner sig i en särklass i förhållande till andra läroverk. Det sägs ju också om detta i läroverksstadgan, att man skall ta speciell hänsyn härtill vid tillsättning av tjänster vid dessa läroverk.</w:t>
        <w:br/>
        <w:br/>
        <w:t>Jag skall inte gå in på den första och andra befordringsgrunden, ehuru man mycket väl skulle kunna ta upp herr Sundströms i Skövde resonemang på den punkten, nämligen att man bara har gjort jämförelser mellan den utnämnde och den bäste enligt varje befordringsgrund. Meritförteckningarna uppvisa en fallande skala, och i denna fallande skala kommer i alla fall inte den utnämnde på något sätt alldeles intill den, som kommer först. Jag skall emellertid endast ta upp den tredje befordringsgrunden till prövning, nämligen den som gäller tjänstgöringstidens längd. Därvid är att beakta, att den dispens, som vederbörande har fått, icke av regeringen, som det påpekats i det öppna brevet till ecklesiastikministern, utan av skolöverstyrelsen, är byggd på praxis, en praxis, som uppkommit på grund av att det funnits vissa svårigheter att tillsätta vissa tjänster. Nu har skolöverstyrelsen sagt: Eftersom vi tillämpat denna praxis, när det varit svårighet att få sökande, kunna vi tillämpa den även 1 detta fall. Det var således en rent formell åtgärd, som skolöverstyrelsen vidtog i detta avseende, samtidigt som skolöverstyrelsen sade ifrån, att den ansåg att vederbörande icke skulle komma i åtanke vid detta speciella tillfälle.</w:t>
        <w:br/>
        <w:br/>
        <w:t>Jag vill i detta sammanhang påpeka, att den tjänstgöring på icke fullt fyra terminer, som vederbörande har haft, består av »sönderhackade småvikariat bl. a. i högre folkskola och endast en termins sammanhängande realskoletjänstgöring».</w:t>
        <w:br/>
        <w:br/>
        <w:t>Mina damer och herrar! Det är väl ändå av ganska stor betydelse för denna frågas bedömning att veta, att den lärare, som utnämnes vid provårsläroverk, vanligen skall, så fort han tillträder den ordinarie tjänsten, också bli handledare eller lärare för dem, som skola utbildas till lärare! Här sätts således en man, som endast haft en termins sammanhängande realskoletjänstgöring, såsom lärare för dem, som skola utbildas till lärare vid läroverk, och han skall ge betyg åt dessa för deras framtida arbete. Ty kom ihåg, att dessa betyg sättas endast en gång och stå sedan under den tid, som vederbörande tjänstgör. Det finns visserligen möjlighet till s. k. undervisningsprov för förändring 1 betyg, men detta sätt tillämpas mycket sällan, och för övrigt tror jag att de betyg, som då erhållas reellt inte ha samma värde, även om de ha det formellt, som de ursprungligen satta betygen.</w:t>
        <w:br/>
        <w:br/>
        <w:t>Det är en utomordentligt viktig sak vid bedömandet av denna fråga, att man poängterar detta att man vid utnämningen icke tagit hänsyn till just denna omständighet.</w:t>
        <w:br/>
        <w:br/>
        <w:t>Herr Sundström i Skövde påstod också — jag antecknade det genast — att denne sökande hade rent personliga förutsättningar för den sökta tjänsten. Jag har av de upplysningar, som jag införskaffat, icke kunnat verifiera, att han skulle ha rent personliga förutsättningar för just detta kall. Det är möjligt, som herr Sundström sade, att han i det långa loppet skall visa sig ha de antagna förutsättningarna, men därom vet man ju vid utnämningen ingenting alls. Skall Kungl. Maj:t göra sina utnämningar efter vad man tror skall ske i det långa loppet, då äro vi väl inne — kanske inte på det rena godtycket men nog är det åtskilligt, som påminner om något sådant.</w:t>
        <w:br/>
        <w:br/>
        <w:t>Jag konstaterar, att vederbörande sökande icke har visat med intyg eller på annat sätt sin fallenhet för att få en så krävande syssla som det gäller i detta fall.</w:t>
        <w:br/>
        <w:br/>
        <w:t xml:space="preserve">Jag beklagar, att ecklesiastikministern varken har svarat på det öppna brev, som ställdes till honom i Stockholms-Tidningen eller infunnit sig i dag för att försvara sig, i den mån han anser sig böra försvara sig i en sådan sak. Jag vill endast fråga, huruvida det påstående, som finns i den sökandes handlingar, nämligen att han är handledare vid ett provårsläroverk, är verkligen objektivt. Såvitt jag har kunnat läsa ut ur akterna och de upplysningar, jag erhållit, hade han fått löfte att vid en framtida tidpunkt bli handledare, men han hade aldrig varit det. Det är möjligt, att Kungl. Maj:t på grund av denna formulering har sagt sig: Mannen i fråga är ju handledare, och han kanske är lämpad för det! Men att bygga en så viktig utnämning som denna på en sådan otydlig passus finner jag vara icke i överensstämmelse med den aktning, som man bör ha och hysa gentemot övriga sökande, speciellt med så utmärkta betyg som dessa ha. Ty det fanns sökande, som hade i provåret till och med upp till sex a, av vilka sökande den enda, som jag för min del skulle kunna säga har ett betyg på att vederbörande skulle kunna tjänstgöra inom ett provårsläroverk, är en </w:t>
      </w:r>
      <w:r>
        <w:rPr>
          <w:b/>
        </w:rPr>
        <w:t>dam²</w:t>
      </w:r>
      <w:r>
        <w:rPr>
          <w:b w:val="0"/>
        </w:rPr>
        <w:t xml:space="preserve"> — vem bör man ju inte säga här, men som har A i fallenhet.</w:t>
        <w:br/>
        <w:br/>
        <w:t>Det finns alltså, ärade kammarkolleger, en rad av skäl speciellt på den punkten, som visa, att man bort gå försiktigt tillväga. Och jag säger till slut: Varför skulle den utnämnas, som hade den kortaste tjänstgöringstiden, om det inte fanns skäl av positiv art, vilka voro av den betydelsen, att hans namn tvingade sig fram? Jag vill säga det, ärade kammarledamöter, att det inte är min mening att på minsta sätt kasta en fläck på den unge man det här är fråga om. Det är beklagligt, att han kommit i skottgluggen på detta sätt. Men vi måste från oppositionens sida ha rättighet att framlägga våra bekymmer både för andra kammaren och för regeringen i frågor som dessa. Jag tror,</w:t>
      </w:r>
    </w:p>
    <w:p>
      <w:pPr>
        <w:pStyle w:val="Heading2"/>
      </w:pPr>
      <w:r>
        <w:t>2. Walter Sundström (Socialdemokraterna, man)</w:t>
      </w:r>
    </w:p>
    <w:p>
      <w:r>
        <w:rPr>
          <w:b w:val="0"/>
        </w:rPr>
        <w:t>Herr talman! Jag skall med anledning av vad herr Tengström yttrat be att få göra några korta anmärkningar. Herr Tengström säger, att konstitutionsutskottet hade sakkunskapen inom skolöverstyrelsen att stödja sig på. Till detta vill jag endast erinra, att sedan den av skolöverstyrelsen förordade blivit utnämnd till tjänst vid annat läroverk, var det beträffande de övriga sökandena som omdömet skulle fällas.</w:t>
        <w:br/>
        <w:br/>
        <w:t>I fråga om de påstådda divergerande meningarna inom ecklesiastikdepartementet vill jag säga, att därom ha vi åtminstone inom konstitutionsutskottet inte haft någon kunskap. Det kan ju tänkas, att herr Tengström på denna punkt är bättre underrättad än vi varit. Han uppehåller sig vid en befordringsgrund här, nämligen tjänstgöringstidens längd. Däremot vill jag endast erinra, att det i läroverksstadgan även står, att om en sökande är överlägsen i fråga om de andra befordringsgrunderna, så kan det uppväga underlägsenheten enligt övriga grunder.</w:t>
        <w:br/>
        <w:br/>
        <w:t xml:space="preserve">Herr Tengström efterlyste vidare, varpå jag kunde grunda min uppfattning att den utnämnde hade kvalifikationer för att handleda lärare vid ett provårsläroverk. Jo, den uppfattningen grundar jag på den omständigheten, att den utnämnde under den tid, då denna anmärkning behandlades i utskottet, faktiskt tjänstgjort vid ett läroverk här i Stockholm såsom handledare för provårskandidater och att han därvid erhållit de allra bästa vitsord för sina förutsättningar härvidlag. Jag anser sålunda, att mitt omdöme på denna punkt var fullständigt dokumenterat. Jag kan också belysa, hur man kommer i svårigheter, om man renodlar vissa saker. Herr Tengström nämnde en </w:t>
      </w:r>
      <w:r>
        <w:rPr>
          <w:b/>
        </w:rPr>
        <w:t>kvinnlig¹</w:t>
      </w:r>
      <w:r>
        <w:rPr>
          <w:b w:val="0"/>
        </w:rPr>
        <w:t xml:space="preserve"> sökande. (Talmannen uppmanade talaren att iakttaga att tiden gått till ända, herr Sundström fortsatte:) Jag tillåter mig tillägga, att det torde vara förlåtligt, om herr ecklesiastikministern inte besvarade det öppna brevet i Stockholms-Tidningen.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