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863</w:t>
      </w:r>
    </w:p>
    <w:p>
      <w:r>
        <w:rPr>
          <w:b/>
        </w:rPr>
        <w:t xml:space="preserve">Datum: </w:t>
      </w:r>
      <w:r>
        <w:t>1940-04-17</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Ivar Ekströmer (Högerpartiet, man)</w:t>
      </w:r>
    </w:p>
    <w:p>
      <w:r>
        <w:rPr>
          <w:b w:val="0"/>
        </w:rPr>
        <w:t>Herr talman! Jag skulle egentligen ha kunnat inskränka mig till att helt enkelt yrka bifall till herr Wistrands m. fl. reservation, om</w:t>
        <w:br/>
        <w:br/>
        <w:t>När nu kommunerna skola handhava de i den föreslagna förordningen avsedda ärendena, hava de enligt Kungl Maj:ts förslag att välja mellan att antingen tillsätta en särskild familjebidragsnämnd eller uppdraga detta handläggande åt redan befintliga nämnder, dock icke åt fattigvårdsstyrelsen. Detta undantag är ganska märkeligt, eftersom väl, mänskligt att döma, fattigvårdsstyrelsen i en kommun just är den institution, som bäst kan taga vara på de ifrågavarande angelägenheterna genom sin vidsträckta personalkännedom och sin vana att bedöma likartade frågor.</w:t>
        <w:br/>
        <w:br/>
        <w:t xml:space="preserve">En nutida fattigvårdsstyrelse är ju icke alls att Jämföra med forna dagars fattigvårdsnämnder. I en modern fattigvårdsstyrelse sitta i regel socialt högt intresserade personer, män och </w:t>
      </w:r>
      <w:r>
        <w:rPr>
          <w:b/>
        </w:rPr>
        <w:t>kvinnor¹</w:t>
      </w:r>
      <w:r>
        <w:rPr>
          <w:b w:val="0"/>
        </w:rPr>
        <w:t>, såsom ledamöter, vilka efter bästa förstånd och med största diskretion försöka att bispringa sina mindre lyckligt lottade medmänniskor. Våra fattigvårdsmyndigheter ha också inom hela landet förskaffat sig ett allt större och större förtroende. Nog synes det då vara oriktigt, att just riksdagen genom ett beslut som det, som nu real av Kungl. Maj:t och utskottet, skall undergräva detta växande förtroende.</w:t>
        <w:br/>
        <w:br/>
        <w:t>Anledningen till att denna bestämmelse i 21 $S, att fattigvårdsstyrelsen ej skall få tjänstgöra som familjebidragsnämnd, tillkommit har enligt vad som upplysts i utskottet varit endast den, att en del unga värnpliktiga skulle förklarat att det skulle gå deras ära för nära att de fått att göra med fattigvårdsmyndigheterna, när det gällt understöd etc. Detta skäl kan jag för min del icke finna vara bärande, även om Kungl. Maj:t genast föll för frestelsen att tillmötesgå dessa värnpliktigas önskan.</w:t>
        <w:br/>
        <w:br/>
        <w:t>Vi ha ju en fattigvård här i landet, och ingen människa vill så vitt man vet avskaffa den. Det synes mig då vara alldeles orimligt, att man skall på detta sätt diskvalificera den. I nuvarande oroliga tider vet ingen människa, hur länge han får behålla sitt levebröd, man vet icke, vad som kan hända i morgon eller om ett år, och då är det väl just nu ännu mindre skäl än annars att ge näring åt den gamla föråldrade föreställningen, att det skulle vara en skam att i nödens stund begära bidrag från fattigvården.</w:t>
        <w:br/>
        <w:br/>
        <w:t>Herr talman! Man förstår, att det är det där gamla namnet fattigvård, som sticker i ögonen och som är förhatligt. Men varför icke då, som jag sagt en gång förut här i kammaren, helt resolut kasta bort detta namn och hitta på något annat i stället. Namnbyten äro Ju inte så ovanliga nu för tiden, och det lär väl finnas folk inom våra ämbetsverk, som skulle kunna hitta på ett bättre namn än »fattigvård».</w:t>
        <w:br/>
        <w:br/>
        <w:t>Herr talman! Jag slutar mitt anförande med att helt enkelt yrka bifall till den reservation, som jag har avgivit.</w:t>
      </w:r>
    </w:p>
    <w:p>
      <w:pPr>
        <w:pStyle w:val="Heading2"/>
      </w:pPr>
      <w:r>
        <w:t>2. David Norman (Socialdemokraterna, man)</w:t>
      </w:r>
    </w:p>
    <w:p>
      <w:r>
        <w:rPr>
          <w:b w:val="0"/>
        </w:rPr>
        <w:t>Jag instämmer med herr Ekströmer, att mycket nog skulle vara vunnet, om man kunde finna ett annat namn för den sociala omvårdnadsinstitution, som det här är fråga om. Herr Ekströmer har redan anfört, vad som har varit ett av motiven till att denna bestämmelse, att fattigvårdsstyrelse ej må vara familjebidragsnämnd, kommit med i Kungl. Maj:ts förslag och att utskottet har godtagit densamma. Även om man erkänner värdet av alla de synpunkter, som herr Ekströmer här har framfört, och som motionären har anfört i sin motion, är det psykologiskt lämpligt, att den av utskottet föreslagna bestämmelsen rörande familjenämndernas sammansättning skall bibe-</w:t>
        <w:br/>
        <w:br/>
        <w:t>Jag hemställer, herr talman, om bifall till Kungl. Maj:ts förslag, vilket i detta fall också är detsamma som utskottets yrkande.</w:t>
      </w:r>
    </w:p>
    <w:p>
      <w:pPr>
        <w:pStyle w:val="Heading2"/>
      </w:pPr>
      <w:r>
        <w:t>3. Nils Holmström (–, man)</w:t>
      </w:r>
    </w:p>
    <w:p>
      <w:r>
        <w:rPr>
          <w:b w:val="0"/>
        </w:rPr>
        <w:t>Herr talman! Jag har avlämnat den motion, som föranlett herr Ekströmers reservation. Jag skall därför anhålla att få taga kammarens tid en kort stund i anspråk. Jag anser nämligen att det här gäller en mycket viktig princip.</w:t>
        <w:br/>
        <w:br/>
        <w:t>Jag vill, herr talman, säga, att jag tyckte att denna motion var en av de bästa, som jag har skrivit, och jag var då på det klara med att utskottet skulle tillstyrka den. Men så har till min stora förvåning och besvikelse icke skett. Det är endast herr Ekströmer som i sin reservation velat tillstyrka den. Jag har emellertid anledning att till utskottet framföra min tacksamhet för att motionen fått ett visst erkännande, då utskottet säger, att det »finner de av motionären anförda synpunkterna beaktansvärda» samt anser sig »nödsakat att avstyrka denna motion». Jag skall kvittera utskottets vänliga uttalande med att säga, att detta inger mig förhoppning om att isen kanske nu börjar bli bruten för den idé, som ligger till grund för min motion.</w:t>
        <w:br/>
        <w:br/>
        <w:t>I motionen föreslås en praktisk åtgärd av stor betydelse, men den förestavas också, det vågar jag försäkra, av ideella bevekelsegrunder.</w:t>
        <w:br/>
        <w:br/>
        <w:t>Varför anser sig nu utskottet »nödsakat» att avstyrka motionen? Jo, utskottet säger: »Emellertid torde man i förevarande fall icke kunna undgå att fästa största avseende vid de psykologiska faktorer, som på mångfaldigt sätt kommit till uttryck under inkallelserna till förstärkt försvarsberedskap.» Det är allt vad utskottet har att anföra för sitt avstyrkande. Jag vet, att sådana psykologiska faktorer finnas att räkna med, men det är dessa faktorer som jag vill eliminera. Det är just min ideella bevekelsegrund, som jag nyss talade om. Jag har i motionen ägnat stor uppmärksamhet åt dessa faktorer.</w:t>
        <w:br/>
        <w:br/>
        <w:t>Jag säger bland annat i motionen, att departementschefens motivering för att fattigvårdsstyrelsen icke skall kunna få i uppdrag att vara familjebidragsnämnd synes grunda sig på den uppfattningen, att det är mindervärdigt och förödmjukande att mottaga hjälp genom fattigvården. Min uppfattning är däremot den att en sådan uppfattning hos allmänheten numer torde vara sällsynt, trots att herr Ström i sitt anförande nyss uttalat sig i motsatt riktning. Jag tror, att det är en ganska liten grupp bland medborgarna, som anser det förödmjukande, men just dessa göra sig mycket hörda. Denna uppfattning förekommer mera i vissa särskilt känslobetonade men för det praktiska arbetet i denna gren av socialvården ganska främmande kretsar. Tidigare mötte man oftare den uppfattningen, men den var långt ifrån allmän. Hur skall man eljest förklara det förhållandet, att så glädjande många lämnat donationer att förvaltas av fattigvårdsstyrelserna för hjälp åt personer, som icke äro i behov av fattigvård och som tillhöra vissa i donationsbestämmelserna särskilt angivna medborgargrupper, för vilka donatorerna särskilt ömmat. Dessa donatorer hava givetvis icke menat, att det skulle vara mindervärdigt eller förödmjukande för dem, som sålunda varit föremål för deras särskilt ömma omtanke, att mottaga hjälpen genom fattigvårdsstyrelsen.</w:t>
        <w:br/>
        <w:br/>
        <w:t>I detta sammanhang skall jag be att få framhålla en annan synpunkt. Det</w:t>
        <w:br/>
        <w:br/>
        <w:t xml:space="preserve">Förslag till krigsfamiljebidragsförordning. (Forts.) är många hederliga och präktiga människor, som av olika anledningar måst anlita fattigvården. Förstår man icke, att man, genom att framföra sådana för fattigvården förklenande tankar, sätter en mindervärdighetsstämpel på alla dem, som måste anlita fattigvård! Varför skall, för att taga ett exempel, en gammal präktig gumma, som gjort ifrån sig sitt livs dagsverken och som på ålderdomen måste lita till fattigvården, ingivas den känslan att det ligger något mindervärdigt över den hjälp och den trygghet, som samhället skänker </w:t>
      </w:r>
      <w:r>
        <w:rPr>
          <w:b/>
        </w:rPr>
        <w:t>henne²</w:t>
      </w:r>
      <w:r>
        <w:rPr>
          <w:b w:val="0"/>
        </w:rPr>
        <w:t xml:space="preserve">! Det är ett humanitärt krav, att en sådan uppfattning icke legaliseras av statsmakterna. Jag har tidigare i denna kammare reagerat emot detta. Varför skall man göra en klasskillnad mellan dem, som behöva samhällets hjälp! De psykologiska faktorer, som enligt utskottsutlåtandet på mångfaldigt sätt kommit till uttryck under inkallelserna till förstärkt försvarsberedskap, förestavas just av sådana klassynpunkter. Jag högaktar den man, som rycker in till förstärkt försvarsberedskap, men Jag högaktar också den gamla gumma, som jag nyss talade om. Varför skall riksdagen nu genom ett bifall till utskottets förslag legalisera denna uppfattning om fattigvården? Jag skall inte förbigå det förhållandet, att denna diskvalificering av fattigvården även återfaller på de män och </w:t>
      </w:r>
      <w:r>
        <w:rPr>
          <w:b/>
        </w:rPr>
        <w:t>kvinnor¹</w:t>
      </w:r>
      <w:r>
        <w:rPr>
          <w:b w:val="0"/>
        </w:rPr>
        <w:t xml:space="preserve">, vilka av kommunerna äro utsedda till ledamöter i fattigvårdsstyrelserna och vilka i regel med stor hängivenhet ägna sig åt sitt arbete. Det återfaller också på de män och </w:t>
      </w:r>
      <w:r>
        <w:rPr>
          <w:b/>
        </w:rPr>
        <w:t>kvinnor¹</w:t>
      </w:r>
      <w:r>
        <w:rPr>
          <w:b w:val="0"/>
        </w:rPr>
        <w:t>, vilka som funktionärer gjort arbetet inom fattigvården till sin livsgärning. I förrgår utsände Kungl. Maj:t genom länsstyrelserna ett cirkulär till ordförandena i stadsfullmäktige, kommunalfullmäktige och kommunalstämma med anmodan till dessa att så fort som möjligt föranstalta om beslut att tillsätta familjebidragsnämnd. Det angives i detta cirkulär, hur dessa nämnder skola vara sammansatta. Familjebidragsnämnden skall bestå av tre eller fem ledamöter jämte lika många suppleanter för dessa, men det står också i cirkuläret att därtill icke får utses fattigvårdsstyrelse. Så säges det vidare att vid val av ledamöter och suppleanter skall tillses, att erfarenhet på den sociala behovsprövningens område blir företrädd inom nämnden. Men då denna skall bestå av tre eller fem ledamöter, kan det väl icke bli fråga om andra än ledamöterna i fattigvårdsstyrelserna eller fattigvårdsfunktionärer. Det skall alltså bli en »sill i kapprock», som, enligt historien, soldaten lätt känner igen. 'Tror man på någon slags kategoriklyvning hos en ledamot av fattigvårdsstyrelsen? Tror man, att han blir en helt annan och bättre människa, då han sitter i familjebidragsnämnden, än då han sitter i fattigvårdsstyrelsen?</w:t>
        <w:br/>
        <w:br/>
        <w:t>Nu skall jag, herr talman, be att få övergå till de praktiska synpunkterna. Enligt utskottets förslag skola ju kommunerna antingen utse en särskild familjebidragsnämnd eller också överlämna åt annat kommunalt organ än fattigvårdsstyrelsen att vara familjebidragsnämnd. Till vad herr Ekströmer redan har sagt härom, ber jag att få lägga ytterligare några ord.</w:t>
        <w:br/>
        <w:br/>
        <w:t>Det är säkerligen hos de allra flesta kommuner en stark önskan att få begagna sig av möjligheterna att uppdraga detta arbete åt ett redan befintligt kommunalt organ hellre än att sätta igång med ännu ett nytt med ny personaloch ledamotsuppsättning och med helt ny organisation. Särskilt för de mindre kommunerna, som redan nu ha ganska svårt att rekrytera alla sina kommunala nämnder och styrelser, bör detta vara en lättnad. Men nu har propositionen uteslutit just den kommunala myndighet, som grundar större delen av hela sin sociala hjälpverksamhet på behovsprövning, nämligen fattigvårdsstyrelsen, och som därför måste anses besitta de bästa kvalifikationerna och den största erfarenheten på detta område. Fattigvårdsstyrelsen har ju dessutom redan en organisation, lämpad efter sin kommuns storlek och struk-</w:t>
        <w:br/>
        <w:br/>
        <w:t>Dessa båda organ, som man i diskussionen har pekat på, torde alltså inte vara lämpade att använda som familjebidragsnämnd, medan däremot, som jag nu sökt visa, just fattigvårdsstyrelsen är det. De skäl, som anförts mot att fattigvårdsstyrelsen skall kunna få ett sådant uppdrag, böra, som jag också sökt visa, icke tillmätas betydelse. Jag vill i detta sammanhang erinra om att fattigvårdsstyrelserna redan nu i flera former bedriva verksamhet, som icke har fattigvårdskaraktär. Som exempel kan jag nämna kommunalt pensionstillskott, kommunala tillskott till invalidunderstöd, blindhetsersättning, barnbidrag eller bidragsförskott samt sjukvårdsbidrag. Jag kan vidare erinra onmx att fattigvårdsstyrelserna utfärda intyg för värnpliktiga, när det gäller uppskov eller befrielse från värnpliktstjänstgöring, familjeunderstöd och bostadsbidrag enligt nu gällande bestämmelser.</w:t>
        <w:br/>
        <w:br/>
        <w:t>Det har påpekats att det i höstas var så, att det dröjde avsevärt länge, innan familjerna kunde komma i åtnjutande av sina bidrag. Det var då mycket vanligt, att de vände sig till fattigvårdsstyrelsen. Så gjorde de också till vår fattigvårdsstyrelse. Jag har fått det intrycket, att de inte alls ansågo sig som sämre människor, därför att de fingo sådana förskott genom fattigvårdsstyrelsen. Men, som sagt, det finnes sådana, som av olika bevekelsegrunder driva den propagandan.</w:t>
        <w:br/>
        <w:br/>
        <w:t>Det är alltså, herr talman, av rent praktiska, men även av humanitära skäl olämpligt att fastslå, att en kommun inte skall kunna få uppdraga åt fattigvårdsstyrelsen att vara familjebidragsnämnd. En kommuns beslutande organ känna ju sin fattigvårdsstyrelse och känna förhållandena inom sin kommun. Därför böra de väl också få frihet att, om de så anse lämpligt, ge detta uppdrag åt fattigvårdsstyrelsen. Det är alltså inte fråga om ett tvång för kommunen att ge uppdraget åt fattigvårdsstyrelsen. Nog böra vi väl, ärade kammarledamöter, ha så pass stort förtroende för kommunalmännen i landet, att vi skola kunna överlämna åt dem att bedöma, vad som i detta hänseende är limpligt i deras egen kommun. Vi skola väl ha något kvar av den kommunala självstyrelsen i vårt land!</w:t>
        <w:br/>
        <w:br/>
        <w:t>Jag anhåller, herr talman, att få yrka bifall till herr Ekströmers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863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