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2221</w:t>
      </w:r>
    </w:p>
    <w:p>
      <w:r>
        <w:rPr>
          <w:b/>
        </w:rPr>
        <w:t xml:space="preserve">Datum: </w:t>
      </w:r>
      <w:r>
        <w:t>1940-05-23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Torsten Henriksson (Moderata samlingspartiet, man)</w:t>
      </w:r>
    </w:p>
    <w:p>
      <w:r>
        <w:rPr>
          <w:b w:val="0"/>
        </w:rPr>
        <w:t>Herr talman! Jag har tillsammans med herr Arnemark i denna kammare väckt en motion, som rör 8 18 i den föreslagna förordningen. Genom den paragrafen avses att reglera, hur det skall förfaras med ett trafiktillstånd, då tillståndshavaren avlider, samt de efterlevandes rättsliga ställning i den då uppkomna situationen. Tidigare har det icke funnits några i författningstext uttryckta regler i ämnet, men det har utbildats en praxis,</w:t>
        <w:br/>
        <w:br/>
        <w:t>År 1935 gjordes av överståthållarämbetet i Stockholm ett ganska betydelsefullt avsteg från den dittills tillämpade praxis. Överståthållarämbetet dekreterade, att avlidna trafiktillståndsinnehavares änkor och söner icke längre skulle få fortsätta rörelsen annat än under en viss kortare avvecklingsperiod. Sedan skulle tillståndet överlämnas till andra.</w:t>
        <w:br/>
        <w:br/>
        <w:t>Detta dekret har vållat mycket betydande svårigheter och besvärligheter, icke minst därför, att man, när denna nya praxis här i Stockholm började tilllämpas, icke gjorde något som helst undantag eller stipulerade någon övergångstid för alla de fall, då tillståndshavaren vid rättighetens övertagande hade erlagt ersättning för good-will. Jag vill påpeka, att det har varit med tillståndsmyndighetens goda minne, som ersättning för good-will betalats, och det har t. o. m. förekommit, att uppgörelse om överlåtande av trafikrättighet träffats inför tillståndsmyndigheten, och att pengarna därvid lagts upp på bordet. Det hade varit rätt och billigt, om den tillståndsgivande myndigheten hade tagit någon hänsyn till detta förhållande. Man kan ju icke förundra sig över, att en person, som 1 sådan ordning betalat good-will för att erhålla sin rättighet, icke kunnat tänka sig annat än att allt varit fullt korrekt. Tillståndsmyndigheten hade ju själv medverkat till att transaktionen kommit till stånd. Ö.Ä:s nya praxis har emellertid fått till följd, att det kapital — vanligen sparkapital men ofta även lånat kapital — som investerats i trafikrörelse, gått förlorat, då rörelsen, sedan tillståndsinnehavaren avlidit, måst upphöra efter en kortare avvecklingstid. På det sättet har här i Stockholm det s. k. droskänkeproblemet uppkommit.</w:t>
        <w:br/>
        <w:br/>
        <w:t>Frågan om den yrkesmässiga automobiltrafiken behandlades av 1936 års trafikutredning, vilken även framlade det förslag till regler, som denna proposition bygger på. Herr Hermansson påpekade detta i sitt anförande. Trafikutredningens formulering av $ 18 överensstämmer med mom. 1 i Kungl. Maj:ts förslag. Formuleringen inrymmer — åtminstone såvitt jag kan tolka den —- möjlighet till fortsatt tillämpning av den praxis, som hittills varit rådande i hela landet med undantag för Stockholm och ett par platser, där man följt Stockholms exempel. Där står talat om att rörelsen efter medgivande av tillståndsmyndighet skall kunna överlåtas på annan och att man då skall förete mellan parterna upprättat avtal. I ett dylikt avtal kan självfallet intagas bestämmelser om ersättning ej blott för automobiler, tillbehör och andra inventarier utan även för good-will. Emellertid har departementschefen i sitt förslag gjort ett tillägg. Han har tillfogat ett 2 mom., som är av följande lydelse: »Avlider tillståndshavare, vilken bedrivit yrkesmässig trafik såsom självständigt yrke, må den tillståndsgivande myndigheten, på framställning av dödsboet, såsom villkor för tillstånd, som beviljas annan i stället för den avlidne, föreskriva skyldighet för den nya tillståndshavaren att i viss omfattning inlösa den eller de automobiler, som den avlidne eller dödsboet använt i sin trafikrörelse. I samband med sådan föreskrift äger myndigheten jämväl meddela erforderliga bestämmelser för reglerande av inlösningsplikten.»</w:t>
        <w:br/>
        <w:br/>
        <w:t>Utskottet säger i sitt betänkande — och jag förmodar detta också är departementschefens uppfattning — att detta tillägg tillkommit med hänsyn till stärbhusdelägarna. Jag har för min del mycket svårt att förstå, hur detta skulle kunna vara fallet. Jag har det intrycket, att det i stället kommer att få till följd, att överståthållarämbetets i Stockholm praxis kommer att tilllämpas i hela landet. Jag har svårt att tänka mig, att, om detta förslag antages, någon överlåtelse i fortsättningen kommer att träffas i enlighet med 1 mom. Ingen tror väl, att en person, som ämnar söka tillståndsbevis för trafikrörelse, skulle träffa ett avtal med stärbhuset efter en avliden trafiktillståndshavare om ersättning icke blott för inventarier utan även för goodwill, då han enligt 2 mom. antingen kan slippa undan all ersättning eller, om stärbhusdelägarna göra framställning därom, på sin höjd åläggas att inlösa den eller de automobiler, som den avlidne eller stärbhuset använt i sin rörelse. Jag kan för min del icke förstå annat, än att detta andra moment fullständigt slår ihjäl allt det positiva, som det första momentet innehåller.</w:t>
        <w:br/>
        <w:br/>
        <w:t>Det talas om den eller de automobiler, som den avlidne använt i sin rörelse. En droskbil med sin speciella konstruktion har icke stort värde annat än som en integrerande del av trafikrörelsen. En droskbil, såld i den allmänna marknaden, betingar på sin höjd 300—400 kronor, därför att den kan endast användas för detta speciella ändamål. Då komma vi alltså fram till det, att om en överlåtelse skall ske enligt 2 mom., får ägaren en ganska blygsam ersättning för den material, som finnes. TI de allra flesta fallen komma dessa pengar att gå till de leverantörer av bilar, som ha avbetalningskontrakt med trafiktillståndshavaren. Resultatet blir, att de efterlevande icke få någon som helst möjlighet att få tillbaka det i rörelsen investerade kapitalet.</w:t>
        <w:br/>
        <w:br/>
        <w:t>Jag vill i detta samband fråga: När man nu skall knäsätta denna nya praxis över hela landet, hur skall det gå med alla dem, som ända intill senare tid betalat goodwillersättning för att få trafiktillstånd Det har nyligen förekommit, att sådant skett med de tillståndsgivande myndigheternas goda minne.</w:t>
        <w:br/>
        <w:br/>
        <w:t>Här blir alltså även följden, att det sparkapital, som investerats, fullständigt går till spillo. Jag har mycket svårt att förstå, att detta kan vara rätt och billigt.</w:t>
        <w:br/>
        <w:br/>
        <w:t>På sid. 34 i utskottets betänkande lämnas en redogörelse för yttranden, som inkommit till utskottet. Man har där meddelat, att det inkommit yttranden dels från företagareorganisationer och dels från andra. Detta framlägges på sådant sätt, att man får fram ett motsatsförhållande emellan företagarnas och de anställdas yttranden. Det är emellertid rätt märkligt att finna att på företagaresidan ha riksorganisationerna inom trafikbilbranschen yttrat sig, medan på de anställdas sida man endast återfinner Stockholms automobilförares fackförening.</w:t>
        <w:br/>
        <w:br/>
        <w:t>Såsom problemet nu blivit upplagt av Kungl. Maj:t är det icke längre endast en stockholmsfråga, utan det är en fråga, som rör hela riket. Jag skulle därför vilja tillåta mig att rikta en direkt fråga till utskottets ledamöter: Har utskottet hört Svenska transportarbetareförbundet? Om så icke är fallet, skulle jag vara tacksam att få veta, varför man icke infordrat den uppfattning, som kan företrädas på detta håll, när det här är fråga om bestämmelser för hela riket. Och om man hört förbundet, skulle jag vara intresserad att få veta, varför icke vi övriga fått del av detta genom utskottsbetänkandet.</w:t>
        <w:br/>
        <w:br/>
        <w:t>Här säges det, att principiellt kan arvsrätt icke medgivas. Det framhålles av både departementschefen och utskottet. Jag har heller aldrig tänkt mig någon ovillkorlig arvsrätt. Ty 1 själva denna principfråga rörande karaktären av ett tillståndsbevis har jag nog ungefär samma uppfattning som departementschefen och utskottet.</w:t>
        <w:br/>
        <w:br/>
        <w:t>Men jag måste å andra sidan mycket bestämt reagera mot, att de efterlevande skola hava en sämre ställning än andra.</w:t>
        <w:br/>
        <w:br/>
        <w:t>Departementschefen säger på sid. 135 i propositionen: »Principiellt kan arvsrätt till rättigheter av förevarande slag icke erkännas. Detta får givetvis icke föranleda, att icke stärbhusdelägare framför annan sökande kan ifrågakomma till erhållande av den avlidnes trafiktillstånd, därest han härför befinnes mest lämplig.»</w:t>
        <w:br/>
        <w:br/>
        <w:t>Jag undrar, varför det ej skulle kunnat vara tillräckligt, om de varit lika lämpliga. Jag anser för min del, att vid lika lämplighet böra de efterlevande hava viss företrädesrätt. Man kan då fråga: Varför böra de hava det? Jo, därför att ett bestående företag har ett speciellt värde ej blott för ägaren utan även för de anställda och för samhället.</w:t>
        <w:br/>
        <w:br/>
        <w:t>Jag påpekade förut, att bilarnas värde hänger ihop med företaget såsom fortbestående enhet. Likadant är det i övriga avseenden. För man över tillståndet till en annan och raserar ett bestående företag bli ej blott ägarna berövade sina sparmedel, utan de anställda bli även arbetslösa. Jag vill nämligen påpeka, att om det vid ett företag finnes 3—4 anställda, som äro i åldern 50—560 år, och detta företag ej får fortsätta, bli dessa äldre människor i regel berövade sina utkomstmöjligheter. Ty de nya företagen taga icke in personer 1 denna ålder utan söka helst få yngre personal anställd.</w:t>
        <w:br/>
        <w:br/>
        <w:t>Icke heller kan det ur samhällets synpunkt, såvitt jag förstår, vara önskvärt att på detta vis rasera ekonomiska värden. Jag tycker, att det är ett väl högt pris att betala för överståthållarämbetets efter allt att döma ganska känsliga prestige på denna punkt.</w:t>
        <w:br/>
        <w:br/>
        <w:t>Detta problem är en detalj i det stora problemet om den enskildes rättsliga ställning i förhållande till samhället. Jag är för min del fullt införstådd med att då en påtaglig samhällsnytta så kräver, bör den enskildes rätt komma i andra rummet. Men jag vill å andra sidan betona, att samhället i största möjliga utsträckning bör akta och taga hänsyn till den enskildes rätt. Ty om man ej gör så, kan det komma otrevliga bakslag.</w:t>
        <w:br/>
        <w:br/>
        <w:t>Vår motion utmynnar i en hemställan, att riksdagen skulle göra en sådan ändring 1 propositionens förslag, att 2 mom. skulle utgå och att till I mom. skulle komma ett tillägg, där man sade ifrån, att en viss företrädesrätt skulle givas de efterlevande, när det vore fråga om trafiktillstånd. Då det nu visat sig, att man på denna sista punkt reagerat så starkt, skall jag tillåta mig att här föreslå en annan lösning av frågan, nämligen att 18 8 erhåller den lydelse, som enhälligt föreslagits av 1936 års trafikutredning, d. v. s. med 2 mom. i Kungl. Maj:ts förslag borttaget.</w:t>
        <w:br/>
        <w:br/>
        <w:t>Jag anhåller fördenskull att få yrka, att motiveringen till 18 $ ändras efter första stycket å sid. 35 sålunda:</w:t>
        <w:br/>
        <w:br/>
        <w:t>DD gt ma är avsedd att tillvarataga.</w:t>
        <w:br/>
        <w:br/>
        <w:t xml:space="preserve">De i mom. 1 föreslagna bestämmelserna utgöra icke något hinder för att de tillståndsgivande myndigheterna kunna, i den mån objektiva skäl befinnas föranleda därtill, låta tillståndet överflyttas på </w:t>
      </w:r>
      <w:r>
        <w:rPr>
          <w:b/>
        </w:rPr>
        <w:t>änka²</w:t>
      </w:r>
      <w:r>
        <w:rPr>
          <w:b w:val="0"/>
        </w:rPr>
        <w:t xml:space="preserve"> eller annan stärbhusdelägare. Dessa bestämmelser möjliggöra även för stärbhuset att på annan person, som prövats lämplig, överlåta rörelsen på avtalsvillkor, som av den tillståndsgivande myndigheten kunna anses skäliga.</w:t>
        <w:br/>
        <w:br/>
        <w:t>Då så är förhållandet, kommer, såsom även påpekats i motionen IT:242, det av Kungl. Maj:t föreslagna 2 mom. endast att verka inskränkande på rörelsefriheten vid prövningen. Ur dessa synpunkter måste den formulering av 18 $, som enhälligt föreslagits av 1936 års trafikutredning, vara att föredraga, i enlighet varmed 2 mom. bör utgå.»</w:t>
      </w:r>
    </w:p>
    <w:p>
      <w:pPr>
        <w:pStyle w:val="Heading2"/>
      </w:pPr>
      <w:r>
        <w:t>2. Ernst Hage (Socialdemokraterna, man)</w:t>
      </w:r>
    </w:p>
    <w:p>
      <w:r>
        <w:rPr>
          <w:b w:val="0"/>
        </w:rPr>
        <w:t>Herr talman! Denna fråga är ju, som bekant, redan avgjord i första kammaren. Det är väl knappast tänkbart, att det blir något annat beslut här i dag i andra kammaren. Från denna utgångspunkt torde man kunna högst väsentligt förkorta diskussionen i frågan.</w:t>
        <w:br/>
        <w:br/>
        <w:t>För min del vill jag emellertid giva till känna, att jag känt mig mycket tveksam inför att i en situation som den nuvarande tillstyrka tillkomsten av ett nytt statsorgan, d. v. s. denna trafiknämnd, som av Kungl. Maj:t föreslagits. Tiderna äro ju icke just sådana nu, att det är tacknämligt att gå in för att framskapa nya statsorgan. De kunna utveckla sig till ämbetsverk, något som är så vanligt. Man börjar med litet. Så ett, tu, tre ha vi ett stort verk.</w:t>
        <w:br/>
        <w:br/>
        <w:t>Jag har emellertid böjt mig för Kungl. Maj:ts motiv. Det har jag gjort bland annat därför, att hela den proposition, som här framlagts, är ju byggd på tillkomsten av ett sådant nytt statsorgan. Men jag skulle vilja passa på — till den verkan det hava kan — att uttala den förhoppningen, att det dock icke så småningom blir ett nytt, stort ämbetsverk med en massa byråchefer och övriga tillbehör, utan att vederbörande statsråd ser till, att denna institution håller sig inom ett tämligen begränsat storleksområde i fortsättningen.</w:t>
        <w:br/>
        <w:br/>
        <w:t>Nu har det emellertid sagts, att skapar man den trafiknämnd, som här föreslås, med minst sju medlemmar, ger man på det sättet möjlighet för olika intressen att göra sig gällande och föra sin talan i denna institution vid avgörandet av frågor, som beröra biltrafiken. Det är på grund av denna motivering som jag för min del har böjt mig och gått med på det föreliggande</w:t>
        <w:br/>
        <w:br/>
        <w:t>förslaget. Jag uttalar den förhoppningen, att tillkomsten av detta organ — där det skall sitta representanter från olika intresseområden — när det gäller biltra-</w:t>
        <w:br/>
        <w:br/>
        <w:t>fiken, skall leda till större borgfred inom detta område, än vad vi haft hittills. Ty här har det ju varit — det veta vi alla — mycket hetsiga strider mellan olika intressen och representanter för dessa olika intressen.</w:t>
        <w:br/>
        <w:br/>
        <w:t>Detta är ett uttalande i allmänhet om det föreliggande förslaget. Sedan finnes det kanske icke så stor anledning att diskutera detaljerna, som herr Hermansson sade. Emellertid har herr Henriksson varit inne på droskrättigheterna och framfört en annan uppfattning än den, som utskottet anslutit sig till. Jag vill då särskilt betona, att i denna punkt är det ett enhälligt utskott, som står bakom utskottets uppfattning. Jag har knappast hört någon vidare opposition i utskottet på denna punkt, så att den opinion, som herr Henriksson företräder, måtte åtminstone i riksdagen hava mycket ringa anslutning.</w:t>
        <w:br/>
        <w:br/>
        <w:t xml:space="preserve">Nu sade herr Henriksson, att hans motion går icke ut på att åstadkomma en arvsrätt inom detta område, sålunda att dödsbodelägarne, änkor och efterlevande, alltid skulle ha rätt att få tillstånd, d. v. s. att om en droskrättighet bleve ledig skulle den ärvas av </w:t>
      </w:r>
      <w:r>
        <w:rPr>
          <w:b/>
        </w:rPr>
        <w:t>änkan²</w:t>
      </w:r>
      <w:r>
        <w:rPr>
          <w:b w:val="0"/>
        </w:rPr>
        <w:t xml:space="preserve"> eller sonen. Ja, men motionens syfte liknar dock, skulle jag vilja tro, ganska mycket en arvsrätt. Det står ändock talat om företrädesrätt till erhållande av tillstånd ete. Nu har herr Henriksson frånfallit motionens yrkande och framlagt ett annat yrkande. Herr Henriksson har föreslagit, att en viss bestämmelse skulle falla bort i propositionen, där det talas om att den, som övertager en droskrättighet, skulle vara skyldig att till dödsboet betala en viss ersättning. I det fallet kom herr Henriksson även in på frågan, huruvida icke vederbörande också skulle vara skyldig att betala för goodwill. Men det finnes ingenstädes omnämnt i propositionen eller utskottets utlåtande, att det skall utgå någon sådan betalning, utan betalningen skall, såvitt jag kunnat finna, utgöra endast en skälig ersättning för vad dessa inventarier, som det här är fråga om, kunna</w:t>
        <w:br/>
        <w:br/>
        <w:t xml:space="preserve">För min del vill jag säga, att jag kan ej betrakta en sådan här droskrörelse och överhuvud taget en sådan här rörelse med bil, som är grundad på tillstånd från det allmänna, som ett slags privat företagareverksamhet, för vilken vid dödsfall skulle gälla samma arvsrättsbestämmelser som gälla för den privata företagareverksamheten. Jag betraktar fastmera hela denna rörelse, som bedrives inom samhällena — särskilt i Stockholm — som en stor gemensam åkerrirörelse, bedriven av personer, som var och en fått ett tillstånd att bedriva rörelsen. När detta tillstånd upphör, exempelvis genom att innehavaren dör, erkänner jag gärna, att det nog kan vara ganska önskvärt, om man kan ordna så, att </w:t>
      </w:r>
      <w:r>
        <w:rPr>
          <w:b/>
        </w:rPr>
        <w:t>änkan²</w:t>
      </w:r>
      <w:r>
        <w:rPr>
          <w:b w:val="0"/>
        </w:rPr>
        <w:t xml:space="preserve"> får fortsätta rörelsen. Utskottet har också sagt ifrån, att när det kan ordnas så, att </w:t>
      </w:r>
      <w:r>
        <w:rPr>
          <w:b/>
        </w:rPr>
        <w:t>änkan²</w:t>
      </w:r>
      <w:r>
        <w:rPr>
          <w:b w:val="0"/>
        </w:rPr>
        <w:t xml:space="preserve"> fortsätter rörelsen, utan att andra legitima intressen förfördelas, skall detta ske. Men att </w:t>
      </w:r>
      <w:r>
        <w:rPr>
          <w:b/>
        </w:rPr>
        <w:t>änkan²</w:t>
      </w:r>
      <w:r>
        <w:rPr>
          <w:b w:val="0"/>
        </w:rPr>
        <w:t xml:space="preserve"> under alla förhållanden skall åtnjuta denna företrädesrätt har det icke funnits någon i utskottet som velat vara med om. Det är ju att märka, att i en sådan stor, gemensam åkerirörelse finnas dock personer, som tjänat för Rakel — för att använda en biblisk jämförelse — i många, kanske tjugo år, och i dylika fall är det väl lika rimligt, att dessa få överta rörelsen, om de kunna skaffa sig de ekonomiska förutsättningarna, som att </w:t>
      </w:r>
      <w:r>
        <w:rPr>
          <w:b/>
        </w:rPr>
        <w:t>änkan²</w:t>
      </w:r>
      <w:r>
        <w:rPr>
          <w:b w:val="0"/>
        </w:rPr>
        <w:t xml:space="preserve"> eller en ung son till den förre innehavaren skall erhålla denna rätt. Och jag får verkligen säga, att skulle vi genomdriva en sådan princip, som den som motionärerna gått in för, skulle t. ex. också en gammal statstjänare vid avgången från sin befattning lika gärna kunna göra anspråk på att hans son, vid faderns frånfälle eller pensionering, finge rycka in och erhålla en motsvarande befattning inom statsförvaltningen. Men detta tillåtes som bekant icke. Det här framställda motionskravet är i varje fall bra likt en anordning av det slag jag nu antytt. Utskottets mening härvidlag är naturligtvis den, att kan man ordna det så, att de efterlevande, utan att man förfördelar andra legitima intressen, få fortsätta rörelsen, vill utskottet vara med om detta. Men kräva andra, mera legitima intressen, att annan person skall övertaga rörelsen, skola dessa intressen i första hand tillgodoses.</w:t>
        <w:br/>
        <w:br/>
        <w:t>Det finns visserligen ytterligare en hel mängd detaljer, som man skulle kunna beröra, men eftersom det huvudsakligen är denna punkt, som nu är föremål för diskussion, skall jag inskränka mig till att från dessa utgångspunkter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2221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