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Escenarios para grupos 1, 3, 5, 7, 9, 11 ● </w:t>
      </w:r>
    </w:p>
    <w:p w:rsidR="00000000" w:rsidDel="00000000" w:rsidP="00000000" w:rsidRDefault="00000000" w:rsidRPr="00000000" w14:paraId="00000002">
      <w:pPr>
        <w:rPr/>
      </w:pPr>
      <w:r w:rsidDel="00000000" w:rsidR="00000000" w:rsidRPr="00000000">
        <w:rPr>
          <w:rtl w:val="0"/>
        </w:rPr>
        <w:t xml:space="preserve">Empresa emergente dedicada a la venta de productos fertilizantes para campos con una capacidad financiera acotada. Todos sus empleados trabajan on site y están dispuestos a recibir capacitación. Poseen actualmente dos personas encargadas de sistemas, las cuales manejan información sensible, pero que todos los usuarios pueden ver (no es política de la empresa). No realizan copias de información porque no las creen convenientes. Poseen una página web donde hay catálogos y los clientes pueden hacer compras a través de la misma.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Este plan debe ser de 6 pasos e incluir: seguridad lógica, física, pasiva, activa y controles de medida de seguridad y de vulnerabilidades que podrían explotar los atacantes.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Activa</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Contraseña de alto nivel</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Encriptar los datos importantes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Elegir e implementar un antivirus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Pasiva</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Copia de seguridad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Escanear y limpiar continuamente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Creación de particiones lógicas en el disco duro para poder almacenar archivos y copias  de seguridad (back-up) en una unidad distinta a la del sistema operativo.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Lógica</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Control de acceso: niveles de acceso según usuarios y su posición jerárquica con la información.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Cifrado de datos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Antivirus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Firewalls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Física</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-Dispositivos de protección→ pararrayos y extintores.</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-Back up de los datos → back en un servidor online pago premium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Controles de Medida de Seguridad y Vulnerabilidades: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