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453f09cbca976295bf53f9fd05ba46e65b07b3"/>
    <w:p>
      <w:pPr>
        <w:pStyle w:val="Heading1"/>
      </w:pPr>
      <w:r>
        <w:t xml:space="preserve">WB-DEA meets MHDBDB: 150.000 blinde Wörter und was daraus wurde</w:t>
      </w:r>
    </w:p>
    <w:p>
      <w:pPr>
        <w:pStyle w:val="FirstParagraph"/>
      </w:pPr>
      <w:r>
        <w:t xml:space="preserve">Julia Hintersteiner (Paris Lodron Universität Salzburg) / Christopher Pollin (Zentrum für Informationsmodellierung, Universität Graz)</w:t>
      </w:r>
    </w:p>
    <w:p>
      <w:pPr>
        <w:pStyle w:val="BodyText"/>
      </w:pPr>
      <w:r>
        <w:rPr>
          <w:bCs/>
          <w:b/>
        </w:rPr>
        <w:t xml:space="preserve">1000 Worte Forschung</w:t>
      </w:r>
      <w:r>
        <w:t xml:space="preserve">:</w:t>
      </w:r>
      <w:r>
        <w:t xml:space="preserve"> </w:t>
      </w:r>
      <w:r>
        <w:rPr>
          <w:iCs/>
          <w:i/>
        </w:rPr>
        <w:t xml:space="preserve">Miniprojekt (Digital Humanities/Germanistische Mediävistik) im Rahmen von CLARIAH-AT, Paris Lodron Universität Salzburg / Zentrum für Informationsmodellierung, Universität Graz,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Wenn man eine mittelalterliche Bibelübersetzung in eine computationelle Suchinfrastruktur einbringt, begegnet man irgendwann dem Wort</w:t>
      </w:r>
      <w:r>
        <w:t xml:space="preserve"> </w:t>
      </w:r>
      <w:r>
        <w:rPr>
          <w:iCs/>
          <w:i/>
        </w:rPr>
        <w:t xml:space="preserve">vortilgen</w:t>
      </w:r>
      <w:r>
        <w:t xml:space="preserve">. Für eine Leserin mit Kenntnissen böhmischer Schreibkonventionen ist das offensichtlich</w:t>
      </w:r>
      <w:r>
        <w:t xml:space="preserve"> </w:t>
      </w:r>
      <w:r>
        <w:rPr>
          <w:iCs/>
          <w:i/>
        </w:rPr>
        <w:t xml:space="preserve">vertilgen</w:t>
      </w:r>
      <w:r>
        <w:t xml:space="preserve"> </w:t>
      </w:r>
      <w:r>
        <w:t xml:space="preserve">— ein ganz gewöhnliches mittelhochdeutsches Wort. Für ein automatisches Wörterbuchabgleichsystem ist es nichts. Kein Treffer. Kein Lemma. Ein unsichtbares Wort in einem sichtbaren Text.</w:t>
      </w:r>
    </w:p>
    <w:p>
      <w:pPr>
        <w:pStyle w:val="BodyText"/>
      </w:pPr>
      <w:r>
        <w:t xml:space="preserve">Diese Lücke — in tausend Varianten — ist der Ausgangspunkt des CLARIAH-AT Projekts zur Integration der</w:t>
      </w:r>
      <w:r>
        <w:t xml:space="preserve"> </w:t>
      </w:r>
      <w:r>
        <w:rPr>
          <w:iCs/>
          <w:i/>
        </w:rPr>
        <w:t xml:space="preserve">Wenzelsbibel</w:t>
      </w:r>
      <w:r>
        <w:t xml:space="preserve"> </w:t>
      </w:r>
      <w:r>
        <w:t xml:space="preserve">(Pentateuch: Gen–Dtn) in die</w:t>
      </w:r>
      <w:r>
        <w:t xml:space="preserve"> </w:t>
      </w:r>
      <w:r>
        <w:rPr>
          <w:iCs/>
          <w:i/>
        </w:rPr>
        <w:t xml:space="preserve">Mittelhochdeutsche Begriffsdatenbank</w:t>
      </w:r>
      <w:r>
        <w:t xml:space="preserve"> </w:t>
      </w:r>
      <w:r>
        <w:t xml:space="preserve">(</w:t>
      </w:r>
      <w:r>
        <w:rPr>
          <w:iCs/>
          <w:i/>
        </w:rPr>
        <w:t xml:space="preserve">MHDBDB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Zwei Infrastrukturen, eine Frage</w:t>
      </w:r>
    </w:p>
    <w:p>
      <w:pPr>
        <w:pStyle w:val="BodyText"/>
      </w:pPr>
      <w:r>
        <w:t xml:space="preserve">Die</w:t>
      </w:r>
      <w:r>
        <w:t xml:space="preserve"> </w:t>
      </w:r>
      <w:r>
        <w:rPr>
          <w:iCs/>
          <w:i/>
        </w:rPr>
        <w:t xml:space="preserve">Wenzelsbibel Digital Edition and Annotation</w:t>
      </w:r>
      <w:r>
        <w:t xml:space="preserve"> </w:t>
      </w:r>
      <w:r>
        <w:t xml:space="preserve">(</w:t>
      </w:r>
      <w:r>
        <w:rPr>
          <w:iCs/>
          <w:i/>
        </w:rPr>
        <w:t xml:space="preserve">WB-DEA</w:t>
      </w:r>
      <w:r>
        <w:t xml:space="preserve">) und die</w:t>
      </w:r>
      <w:r>
        <w:t xml:space="preserve"> </w:t>
      </w:r>
      <w:r>
        <w:rPr>
          <w:iCs/>
          <w:i/>
        </w:rPr>
        <w:t xml:space="preserve">MHDBDB</w:t>
      </w:r>
      <w:r>
        <w:t xml:space="preserve"> </w:t>
      </w:r>
      <w:r>
        <w:t xml:space="preserve">haben grundverschiedene Zielsetzungen.</w:t>
      </w:r>
      <w:r>
        <w:t xml:space="preserve"> </w:t>
      </w:r>
      <w:r>
        <w:rPr>
          <w:iCs/>
          <w:i/>
        </w:rPr>
        <w:t xml:space="preserve">WB-DEA</w:t>
      </w:r>
      <w:r>
        <w:t xml:space="preserve"> </w:t>
      </w:r>
      <w:r>
        <w:t xml:space="preserve">ist eine editorische Tiefenbohrung: diplomatische Transkription, normalisierte Formen, elaborierter Kommentar — alles auf einen einzigen außergewöhnlichen Text konzentriert. Die</w:t>
      </w:r>
      <w:r>
        <w:t xml:space="preserve"> </w:t>
      </w:r>
      <w:r>
        <w:rPr>
          <w:iCs/>
          <w:i/>
        </w:rPr>
        <w:t xml:space="preserve">MHDBDB</w:t>
      </w:r>
      <w:r>
        <w:t xml:space="preserve"> </w:t>
      </w:r>
      <w:r>
        <w:t xml:space="preserve">ist ein semantisches Suchnetz: rund 670 mittelhochdeutsche Texte, 43.750 Lexikoneinträge, verknüpft mit GND, Wikidata und Handschriftencensus. Die Leitfrage des Projekts: Wie überführt man eine hochwertige digitale Edition in eine semantische Korpusinfrastruktur, ohne die editorische Substanz des einen oder die Suchmächtigkeit des anderen zu opfern?</w:t>
      </w:r>
    </w:p>
    <w:p>
      <w:pPr>
        <w:pStyle w:val="BodyText"/>
      </w:pPr>
      <w:r>
        <w:t xml:space="preserve">Das Objekt ist außergewöhnlich. Die</w:t>
      </w:r>
      <w:r>
        <w:t xml:space="preserve"> </w:t>
      </w:r>
      <w:r>
        <w:rPr>
          <w:iCs/>
          <w:i/>
        </w:rPr>
        <w:t xml:space="preserve">Wenzelsbibel</w:t>
      </w:r>
      <w:r>
        <w:t xml:space="preserve"> </w:t>
      </w:r>
      <w:r>
        <w:t xml:space="preserve">entstand um 1389–1395 im Auftrag König Wenzels IV. von Böhmen: sechs Prachtbände, 1.214 Blätter, über 650 ganzseitige Miniaturen — eines der aufwändigsten Buchprojekte des deutschsprachigen Mittelalters und eine der frühesten volkssprachlichen Vollübersetzungen der Bibel. Sprachlich steht sie am Übergang von Mittelhochdeutsch zu Frühneuhochdeutsch: bairisch-österreichisch, mit deutlich böhmischem Kolorit. Das Produkt einer höfischen Werkstatt für Wenzels zweisprachige Kanzlei — und das wird noch eine Rolle spielen.</w:t>
      </w:r>
    </w:p>
    <w:p>
      <w:pPr>
        <w:pStyle w:val="BodyText"/>
      </w:pPr>
      <w:r>
        <w:rPr>
          <w:bCs/>
          <w:b/>
        </w:rPr>
        <w:t xml:space="preserve">150.000 blinde Wörter</w:t>
      </w:r>
    </w:p>
    <w:p>
      <w:pPr>
        <w:pStyle w:val="BodyText"/>
      </w:pPr>
      <w:r>
        <w:t xml:space="preserve">Nach der strukturellen TEI-Konversion der</w:t>
      </w:r>
      <w:r>
        <w:t xml:space="preserve"> </w:t>
      </w:r>
      <w:r>
        <w:rPr>
          <w:iCs/>
          <w:i/>
        </w:rPr>
        <w:t xml:space="preserve">WB-DEA</w:t>
      </w:r>
      <w:r>
        <w:t xml:space="preserve">-Quelldaten lagen rund 150.000 Wörter vor — formal korrekt, aber ohne eine einzige semantische Annotation. Jedes fehlende Attribut bedeutet eine fehlende Funktion: Lemma-Referenzen machen Tokens lemmasuchbar, Wortartmarkierungen ermöglichen grammatische Filterung, Bedeutungsreferenzen öffnen die Konzeptnavigation. Ohne sie ist die</w:t>
      </w:r>
      <w:r>
        <w:t xml:space="preserve"> </w:t>
      </w:r>
      <w:r>
        <w:rPr>
          <w:iCs/>
          <w:i/>
        </w:rPr>
        <w:t xml:space="preserve">Wenzelsbibel</w:t>
      </w:r>
      <w:r>
        <w:t xml:space="preserve"> </w:t>
      </w:r>
      <w:r>
        <w:t xml:space="preserve">im Korpus vorhanden, aber blind: Kein Suchergebnis verweist auf sie, keine Lemmafrequenz wird aus ihr berechnet, kein semantisches Netz schließt sie ein.</w:t>
      </w:r>
    </w:p>
    <w:p>
      <w:pPr>
        <w:pStyle w:val="BodyText"/>
      </w:pPr>
      <w:r>
        <w:t xml:space="preserve">Die Aufgabe war keine singuläre Fleißarbeit. Rund ein Drittel der 670</w:t>
      </w:r>
      <w:r>
        <w:t xml:space="preserve"> </w:t>
      </w:r>
      <w:r>
        <w:rPr>
          <w:iCs/>
          <w:i/>
        </w:rPr>
        <w:t xml:space="preserve">MHDBDB</w:t>
      </w:r>
      <w:r>
        <w:t xml:space="preserve">-Texte verfügt noch nicht über Bedeutungsannotationen — die</w:t>
      </w:r>
      <w:r>
        <w:t xml:space="preserve"> </w:t>
      </w:r>
      <w:r>
        <w:rPr>
          <w:iCs/>
          <w:i/>
        </w:rPr>
        <w:t xml:space="preserve">Wenzelsbibel</w:t>
      </w:r>
      <w:r>
        <w:t xml:space="preserve"> </w:t>
      </w:r>
      <w:r>
        <w:t xml:space="preserve">ist der erste kontrollierte Testfall für eine Pipeline, die diese Lücke systematisch schließen soll.</w:t>
      </w:r>
    </w:p>
    <w:p>
      <w:pPr>
        <w:pStyle w:val="BodyText"/>
      </w:pPr>
      <w:r>
        <w:rPr>
          <w:bCs/>
          <w:b/>
        </w:rPr>
        <w:t xml:space="preserve">Die Pipeline: Automatisierung an den Grenzen des Machbaren</w:t>
      </w:r>
    </w:p>
    <w:p>
      <w:pPr>
        <w:pStyle w:val="BodyText"/>
      </w:pPr>
      <w:r>
        <w:t xml:space="preserve">Die Annotationspipeline folgt einem einfachen Prinzip: das Sprachmodell nicht als Orakel einsetzen, sondern als Unterstützung an den Ambiguitätsgrenzen. Automatisierung so weit wie möglich, LLM-Assistenz wo nötig, menschliches Review an den Unsicherheitsstellen. Alle Entscheidungen laufen durch eine versionierbare Zwischenschicht — kein Schritt schreibt direkt ins Dokument.</w:t>
      </w:r>
    </w:p>
    <w:p>
      <w:pPr>
        <w:pStyle w:val="BodyText"/>
      </w:pPr>
      <w:r>
        <w:t xml:space="preserve">Phase 1, der Lexikonabgleich, löst rund 60 % der Tokens direkt auf. Die verbleibenden 72.000 Fälle gehen in Phase 1b: Das Sprachmodell liest Kontextfenster und schlägt Lemmata mit Konfidenzangabe vor; niedrig-konfidente Entscheidungen kommen zum menschlichen Review. Das Ergebnis: 95,3 % Lemma-Abdeckung. Phase 2, das POS-Tagging, nutzt denselben Mechanismus: Lemmata mit eindeutigem Wortart-Eintrag werden direkt zugewiesen, mehrdeutige Fälle —</w:t>
      </w:r>
      <w:r>
        <w:t xml:space="preserve"> </w:t>
      </w:r>
      <w:r>
        <w:rPr>
          <w:iCs/>
          <w:i/>
        </w:rPr>
        <w:t xml:space="preserve">daz</w:t>
      </w:r>
      <w:r>
        <w:t xml:space="preserve"> </w:t>
      </w:r>
      <w:r>
        <w:t xml:space="preserve">als Artikel oder Konjunktion,</w:t>
      </w:r>
      <w:r>
        <w:t xml:space="preserve"> </w:t>
      </w:r>
      <w:r>
        <w:rPr>
          <w:iCs/>
          <w:i/>
        </w:rPr>
        <w:t xml:space="preserve">ein</w:t>
      </w:r>
      <w:r>
        <w:t xml:space="preserve"> </w:t>
      </w:r>
      <w:r>
        <w:t xml:space="preserve">als Artikel oder Zahlwort — gehen in den Review-Workflow. Auch hier: 95,3 % Abdeckung.</w:t>
      </w:r>
    </w:p>
    <w:p>
      <w:pPr>
        <w:pStyle w:val="BodyText"/>
      </w:pPr>
      <w:r>
        <w:rPr>
          <w:bCs/>
          <w:b/>
        </w:rPr>
        <w:t xml:space="preserve">Die böhmischen Überraschungen</w:t>
      </w:r>
    </w:p>
    <w:p>
      <w:pPr>
        <w:pStyle w:val="BodyText"/>
      </w:pPr>
      <w:r>
        <w:t xml:space="preserve">Was kein Standard-MHG-Text hätte: Die</w:t>
      </w:r>
      <w:r>
        <w:t xml:space="preserve"> </w:t>
      </w:r>
      <w:r>
        <w:rPr>
          <w:iCs/>
          <w:i/>
        </w:rPr>
        <w:t xml:space="preserve">Wenzelsbibel</w:t>
      </w:r>
      <w:r>
        <w:t xml:space="preserve"> </w:t>
      </w:r>
      <w:r>
        <w:t xml:space="preserve">brachte drei Annotationsprobleme mit, die aus ihrer Entstehungsgeschichte an der kulturellen Schnittstelle zwischen deutschem und böhmischem Sprachraum folgen.</w:t>
      </w:r>
    </w:p>
    <w:p>
      <w:pPr>
        <w:pStyle w:val="BodyText"/>
      </w:pPr>
      <w:r>
        <w:t xml:space="preserve">Böhmische Schreibkonventionen bedeuteten, dass Wörter wie</w:t>
      </w:r>
      <w:r>
        <w:t xml:space="preserve"> </w:t>
      </w:r>
      <w:r>
        <w:rPr>
          <w:iCs/>
          <w:i/>
        </w:rPr>
        <w:t xml:space="preserve">czeit</w:t>
      </w:r>
      <w:r>
        <w:t xml:space="preserve">,</w:t>
      </w:r>
      <w:r>
        <w:t xml:space="preserve"> </w:t>
      </w:r>
      <w:r>
        <w:rPr>
          <w:iCs/>
          <w:i/>
        </w:rPr>
        <w:t xml:space="preserve">vnd</w:t>
      </w:r>
      <w:r>
        <w:t xml:space="preserve">,</w:t>
      </w:r>
      <w:r>
        <w:t xml:space="preserve"> </w:t>
      </w:r>
      <w:r>
        <w:rPr>
          <w:iCs/>
          <w:i/>
        </w:rPr>
        <w:t xml:space="preserve">vortilgen</w:t>
      </w:r>
      <w:r>
        <w:t xml:space="preserve"> </w:t>
      </w:r>
      <w:r>
        <w:t xml:space="preserve">in keinem Wörterbuch unter dieser Form stehen — obwohl sie triviale mittelhochdeutsche Wörter sind. Die Normalisierungslogik der Pipeline musste um systematische Substitutionsmuster erweitert werden.</w:t>
      </w:r>
    </w:p>
    <w:p>
      <w:pPr>
        <w:pStyle w:val="BodyText"/>
      </w:pPr>
      <w:r>
        <w:t xml:space="preserve">Noch überraschender: In den Exodus- und Numeri-Abschnitten tauchen altböhmische Interlinearglossen auf — Notizen aus dem Scriptorium für Wenzels zweisprachige Hofkanzlei. Sie sind keine mittelhochdeutschen Lexeme. Die Lösung war pragmatisch: ein neues Lemma als Platzhalter für altböhmisches Paratextmaterial. Insgesamt entstanden vier neue Lexikoneinträge im Zuge des Projekts, darunter</w:t>
      </w:r>
      <w:r>
        <w:t xml:space="preserve"> </w:t>
      </w:r>
      <w:r>
        <w:rPr>
          <w:iCs/>
          <w:i/>
        </w:rPr>
        <w:t xml:space="preserve">scot</w:t>
      </w:r>
      <w:r>
        <w:t xml:space="preserve"> </w:t>
      </w:r>
      <w:r>
        <w:t xml:space="preserve">(Schekel, böhmische Münzeinheit) und</w:t>
      </w:r>
      <w:r>
        <w:t xml:space="preserve"> </w:t>
      </w:r>
      <w:r>
        <w:rPr>
          <w:iCs/>
          <w:i/>
        </w:rPr>
        <w:t xml:space="preserve">weise</w:t>
      </w:r>
      <w:r>
        <w:t xml:space="preserve"> </w:t>
      </w:r>
      <w:r>
        <w:t xml:space="preserve">im Sinne von Waise — zu unterscheiden von</w:t>
      </w:r>
      <w:r>
        <w:t xml:space="preserve"> </w:t>
      </w:r>
      <w:r>
        <w:rPr>
          <w:iCs/>
          <w:i/>
        </w:rPr>
        <w:t xml:space="preserve">weise</w:t>
      </w:r>
      <w:r>
        <w:t xml:space="preserve"> </w:t>
      </w:r>
      <w:r>
        <w:t xml:space="preserve">als Adjektiv für klug.</w:t>
      </w:r>
    </w:p>
    <w:p>
      <w:pPr>
        <w:pStyle w:val="BodyText"/>
      </w:pPr>
      <w:r>
        <w:t xml:space="preserve">Diese Probleme waren im Vorfeld nicht sichtbar. Das ist charakteristisch für historische Handschriften: Die wirklichen philologischen Entscheidungen entstehen beim Kontakt mit dem konkreten Dokument, nicht beim Lesen der Forschungsliteratur darüber.</w:t>
      </w:r>
    </w:p>
    <w:p>
      <w:pPr>
        <w:pStyle w:val="BodyText"/>
      </w:pPr>
      <w:r>
        <w:rPr>
          <w:bCs/>
          <w:b/>
        </w:rPr>
        <w:t xml:space="preserve">Was die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Wenzelsbibel</w:t>
      </w:r>
      <w:r>
        <w:rPr>
          <w:bCs/>
          <w:b/>
        </w:rPr>
        <w:t xml:space="preserve"> </w:t>
      </w:r>
      <w:r>
        <w:rPr>
          <w:bCs/>
          <w:b/>
        </w:rPr>
        <w:t xml:space="preserve">jetzt kann</w:t>
      </w:r>
    </w:p>
    <w:p>
      <w:pPr>
        <w:pStyle w:val="BodyText"/>
      </w:pPr>
      <w:r>
        <w:t xml:space="preserve">Seit Mai 2026 ist die</w:t>
      </w:r>
      <w:r>
        <w:t xml:space="preserve"> </w:t>
      </w:r>
      <w:r>
        <w:rPr>
          <w:iCs/>
          <w:i/>
        </w:rPr>
        <w:t xml:space="preserve">Wenzelsbibel</w:t>
      </w:r>
      <w:r>
        <w:t xml:space="preserve"> </w:t>
      </w:r>
      <w:r>
        <w:t xml:space="preserve">als Sigle WZB in der</w:t>
      </w:r>
      <w:r>
        <w:t xml:space="preserve"> </w:t>
      </w:r>
      <w:r>
        <w:rPr>
          <w:iCs/>
          <w:i/>
        </w:rPr>
        <w:t xml:space="preserve">MHDBDB</w:t>
      </w:r>
      <w:r>
        <w:t xml:space="preserve"> </w:t>
      </w:r>
      <w:r>
        <w:t xml:space="preserve">zugänglich: lemmasuchbar über 142.185 annotierte Tokens, mit Volltextanzeige und Lemma-Highlighting in der Leseansicht, eingebunden in das Normdatennetz der Mittelalterforschung (GND, Wikidata, Handschriftencensus).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Ein Text, der in keiner computationellen Korpusressource lemmasuchbar war, ist jetzt vollwertiger Teilnehmer im semantischen Suchnetz über das mittelhochdeutsche Schrifttum.</w:t>
      </w:r>
    </w:p>
    <w:p>
      <w:pPr>
        <w:pStyle w:val="BodyText"/>
      </w:pPr>
      <w:r>
        <w:t xml:space="preserve">Was das Projekt dabei gezeigt hat: Infrastruktur-Interoperabilität ist lösbar — aber sie erfordert philologische Entscheidungen, nicht nur technische Transformation. Welches Format hat ein „Wort" in</w:t>
      </w:r>
      <w:r>
        <w:t xml:space="preserve"> </w:t>
      </w:r>
      <w:r>
        <w:rPr>
          <w:iCs/>
          <w:i/>
        </w:rPr>
        <w:t xml:space="preserve">WB-DEA</w:t>
      </w:r>
      <w:r>
        <w:t xml:space="preserve">? Was ist ein „Lemma" in der</w:t>
      </w:r>
      <w:r>
        <w:t xml:space="preserve"> </w:t>
      </w:r>
      <w:r>
        <w:rPr>
          <w:iCs/>
          <w:i/>
        </w:rPr>
        <w:t xml:space="preserve">MHDBDB</w:t>
      </w:r>
      <w:r>
        <w:t xml:space="preserve">? Diese Fragen haben keine technische Antwort; sie sind editorische Entscheidungen, die getroffen und dokumentiert werden müssen. Und: Residuale Ambiguität ist keine Niederlage. Die rund 5 % unaufgelösten Tokens benennen korrekt, wo automatische Annotation an ihre Grenze stößt — das ist eine wissenschaftliche Aussage.</w:t>
      </w:r>
    </w:p>
    <w:p>
      <w:pPr>
        <w:pStyle w:val="BodyText"/>
      </w:pPr>
      <w:r>
        <w:rPr>
          <w:bCs/>
          <w:b/>
        </w:rPr>
        <w:t xml:space="preserve">Der offene Horizont: Phase 3</w:t>
      </w:r>
    </w:p>
    <w:p>
      <w:pPr>
        <w:pStyle w:val="BodyText"/>
      </w:pPr>
      <w:r>
        <w:t xml:space="preserve">Phase 3 — die Bedeutungsdisambiguierung — ist noch nicht abgeschlossen. Sie ist gleichzeitig Infrastrukturarbeit und empirisches Testbett einer laufenden Dissertation über LLM-gestützte Word Sense Disambiguation in historischen Sprachstufen. Die Baseline: Den häufigsten Sinn pro Lemma auf alle Vorkommen anzuwenden ergibt eine gewichtete Genauigkeit von 66,7 %. Das ist die Hürde. Nach sechs Bulk-Batches liegt die Bedeutungsabdeckung bei 76,2 % — die hochambigen Hochfrequenzlemmata (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haben</w:t>
      </w:r>
      <w:r>
        <w:t xml:space="preserve">,</w:t>
      </w:r>
      <w:r>
        <w:t xml:space="preserve"> </w:t>
      </w:r>
      <w:r>
        <w:rPr>
          <w:iCs/>
          <w:i/>
        </w:rPr>
        <w:t xml:space="preserve">werden</w:t>
      </w:r>
      <w:r>
        <w:t xml:space="preserve">) warten noch auf token-genaue Entscheidungen.</w:t>
      </w:r>
    </w:p>
    <w:p>
      <w:pPr>
        <w:pStyle w:val="BodyText"/>
      </w:pPr>
      <w:r>
        <w:t xml:space="preserve">Die eigentlich interessante Frage bleibt offen: Schlägt die Pipeline die Mehrheitssinn-Baseline von 66,7 %? Und falls ja — unter welchen Bedingungen, für welche Wortarten, bei welchem Polysemiegrad? Das ist die Dissertation.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Alle angegebenen Links wurden am 26. Mai 2026 geprüft.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MHDBDB — Mittelhochdeutsche Begriffsdatenbank</w:t>
      </w:r>
      <w:r>
        <w:t xml:space="preserve">, Salzburg: Paris Lodron Universität Salzburg, 1995– , https://mhdbdb.sbg.ac.at. Das Miniprojekt wurde im Rahmen von CLARIAH-AT gefördert. Kontakt: mhdbdb@plus.ac.at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2026-05-26T13:57:20Z</dcterms:created>
  <dcterms:modified xsi:type="dcterms:W3CDTF">2026-05-26T13:57:20Z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