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33"/>
        <w:gridCol w:w="217"/>
        <w:gridCol w:w="345"/>
        <w:gridCol w:w="236"/>
        <w:gridCol w:w="245"/>
        <w:gridCol w:w="269"/>
        <w:gridCol w:w="216"/>
        <w:gridCol w:w="271"/>
        <w:gridCol w:w="240"/>
        <w:gridCol w:w="239"/>
        <w:gridCol w:w="268"/>
        <w:gridCol w:w="270"/>
        <w:gridCol w:w="240"/>
        <w:gridCol w:w="245"/>
        <w:gridCol w:w="272"/>
        <w:gridCol w:w="263"/>
        <w:gridCol w:w="231"/>
        <w:gridCol w:w="216"/>
        <w:gridCol w:w="277"/>
        <w:gridCol w:w="262"/>
        <w:gridCol w:w="234"/>
        <w:gridCol w:w="245"/>
        <w:gridCol w:w="244"/>
        <w:gridCol w:w="249"/>
        <w:gridCol w:w="231"/>
        <w:gridCol w:w="216"/>
        <w:gridCol w:w="216"/>
        <w:gridCol w:w="255"/>
        <w:gridCol w:w="222"/>
        <w:gridCol w:w="216"/>
        <w:gridCol w:w="216"/>
        <w:gridCol w:w="241"/>
        <w:gridCol w:w="224"/>
        <w:gridCol w:w="216"/>
        <w:gridCol w:w="216"/>
        <w:gridCol w:w="216"/>
        <w:gridCol w:w="216"/>
        <w:gridCol w:w="216"/>
        <w:gridCol w:w="216"/>
      </w:tblGrid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pertinent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pertinet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manes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boni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bonis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superis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aversa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voluntas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S. A. V.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vivim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vivimu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debemus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omnia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ideo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coeperimus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operimus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spiritum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spiritu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honorum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omnium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horum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bonum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honoris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Uh2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honores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hominum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cupiditates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cupiditatem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videmur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Ec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X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videntur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uiderentur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T 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exstincti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reddimus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8192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secundum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physicam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disciplinam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dicit: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tradunt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physici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omnia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nos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mereri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superis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rursus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extincti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reddimus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ipsis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potestatibus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supernis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. quod et Plato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videtur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astruere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qui dicit quod cum de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effluxione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fontium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non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aliarum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quarumlibet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rerum sed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ipsarum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stellarum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fuerint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animae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corporibus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commodandae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quidquid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de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ipsis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fontibus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stellarum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ebullit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hoc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intellegi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debere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stellas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. ergo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priusquam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in corpora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ingrediantur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animae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per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signa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erratica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transeuntes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singula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supra dicta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singulae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accipiunt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item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exeuntes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singula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singulis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redhibere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dicit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in corpus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venientes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perceperant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secundum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hoc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secundum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perceperant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perceperunt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COMITAMVR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comitatur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co. c.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HONORE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hore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vivos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divos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anacoluthon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anaeduton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ἀνέκδο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ον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vulgare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vulcare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decenter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eliganter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patrem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redit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patrem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orationem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convertit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tales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tales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MEA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MAGNA FIDES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cata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to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cato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Pc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siopomenon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siopumenon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siopemenon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EVANDre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evander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VVLNERIBVS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vulneribus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id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inlatis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latinis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antiptosis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antiposis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sospiti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sospi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hoc dicit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in hoc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vulneratus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vulneratur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cui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quero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quare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quare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*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continuo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continue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auditae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aditae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infantumque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infactuque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infractumque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59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flentes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flentes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in lip.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γ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flentes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limine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primo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AGMINE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AG.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Arcadas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arcades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arcados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orbitati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orbi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dati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80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locus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lectus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Varro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potest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et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loculus,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sed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quamvis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locus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mendum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sit,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haud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dubitari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potest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quin id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nomen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Compilator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scripserit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male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interpretavit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quod in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mortui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[de]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ferantur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ubi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in quo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20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mortui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feruntur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. 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Graecum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φέρ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ρον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fertron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ferton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feretron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fretron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fertro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ferotron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fetron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feretrum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feretrum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feretrum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fertron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feretrum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fecit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X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</w:t>
            </w:r>
            <w:proofErr w:type="spellEnd"/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quod super capita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hominum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feratur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quondam fort.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exhibuerat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hoc loco cum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non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congruit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Plautus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Plautus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Plautus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vicinus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6.222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dignus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Fulg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20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qui dictus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capulus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ab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quod corpus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capiat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 U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Serv. ad A. 6.222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qui et ...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capiat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(2º)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VIMINE QVERNO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Vigmine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quergno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sic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utimur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eas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utimur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seis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sicuti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mos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quernum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vimen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quergnum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vigmen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quenum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vimen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item(1º)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colurnum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Pbh2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colyrnum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colyrnu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colurnu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veru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veru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7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pinguiaque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-que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usque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92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lingua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deficit J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f. 216r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torrebimus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colurnis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colyrnis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colarmis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inutile lignum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I. U. L.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aprugnum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aprumgnum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aprungnum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aprunum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lignum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fort.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a// lignum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callum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gallum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INVMBRANT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quandam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quondam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capulo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ramorum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capulorum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orum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fecerunt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ramorum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agresti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svblimem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stramine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Aegrestis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stragmine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AGRESTIS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PONVNT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47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hoc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super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frondes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ponunt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hic reddit quod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omiserat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supra (66)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dicens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extructos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toros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addens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super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loc.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C00B7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reddit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reddidit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loc.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omiserat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omisert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omisit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loc.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DEMESSVM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Demissum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participium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principium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sane ab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quod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meto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 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metor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metum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demittit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dimittit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Eurotae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eorote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69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Oebali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hybabili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yali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FORMA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FOR. 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RECESSIT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AVROQVE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auro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OSTROQVE RIGENTES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auroque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gentis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O. R.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LABORVM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boum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labore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abore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boreae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0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indutosque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iubet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Indutusque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iuvat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(sed cf. Serv. ad 76, ex quo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inepte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hunc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versum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hic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scripsit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Compilator)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hostilibus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hostibus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laetus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ingenio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dives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didues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amantis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 mentis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amantis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alteram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alternam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de(1º)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alterum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alternum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unum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omnium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dire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artigrafi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artigrati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tantum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tatum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cantum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vetant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vetunt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 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propie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indutus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Achilli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indutus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achillis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cum in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usu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cum in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usis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minus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usit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re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res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iubet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iuliet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hostilibus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h. a.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iubet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iube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non nisi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 Aeneas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plurimos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aeneas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postea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plurimos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aliud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mortuum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mortuum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Th1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sane(3º)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sacerdotii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sacerdotio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COMAS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OBNVBIT AMICTV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o. a.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duabus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duobus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prolatas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prolata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obnubit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obnubuit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tegitur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Lh2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nubentum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nubentem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velantur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velentur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PRAEMIA PVGNAE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mittit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multi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praemia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prae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de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praeda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dreba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praeda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78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eripitur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 b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ripitur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SPOLIAVERAT HOSTEM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s. h.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spoliavit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Achilles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s. h. a.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esses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condecorarent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condeconaret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exuant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exuit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INFERIAS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IN. F.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captivoque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Lh2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captiuo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θ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perfundat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sanguine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per. f. s.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∆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flammas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∆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nec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enim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sanguis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caeditur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  <w:r w:rsidRPr="001C00B7">
              <w:rPr>
                <w:rFonts w:ascii="MS Mincho" w:eastAsia="MS Mincho" w:hAnsi="MS Mincho" w:cs="Calibri" w:hint="eastAsia"/>
                <w:color w:val="000000"/>
              </w:rPr>
              <w:t> 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praeerant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praeerunt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hoc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duces’, ‘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ducum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spolia’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pro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ducum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spoliis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dixerit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dixerint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duxerit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victoria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victoris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FIGI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nominibus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omnibus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nomini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A. C. A.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acoetes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consternatus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consternutus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dolore ire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dolori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magnitudinem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magnitudinis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Acoeten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paene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acoethae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nuptiae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acoeten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acupethon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apte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ne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posse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equum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 cum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equum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migraret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negaret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migaret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lacrimabat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lacrimat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lacrimabit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Oh1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duci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de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duce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equo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quo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cruentans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cruentes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cruentas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vel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lacerans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vella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cernans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·n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terram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terra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PERFVSOS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perfuso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captivos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captivus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BELLATOR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bellatur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usque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sepulcrum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sepulcrum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usque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perversa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gestaret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gestiret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80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positis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insignibvs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sine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faleris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. it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lacrimans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non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mirum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quod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equum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quod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equum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dicit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lacrimare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non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mirum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 dicit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lacrimare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cum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Homerus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cum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Homerus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divinantem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induxerit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faleris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faleris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cum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horus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divinitatem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induxerit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7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equum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dicit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dicit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equum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divinantem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divinitatem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divinitatem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faleris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divinitatem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divinantem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7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induxerit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induxerit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faleris</w:t>
            </w:r>
            <w:proofErr w:type="spellEnd"/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induceret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AETHON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DETON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falanx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comitatur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pallanx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omittatur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regii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adulescentis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regni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adulescentes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servetur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exsequiis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exequiis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conservetur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adimebatur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adimabatur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VICTOR HABET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siopomenon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siopumenon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poemenon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intellegimus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legimus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Lh1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non tantum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balteum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legimus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non ...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legis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tantum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tantam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PHALANX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plalanx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pla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//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anx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Macedonum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hoc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recipit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J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infert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inferi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inferius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Teucrique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teucrisque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sequuntur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º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secuntur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quasi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o.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duces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codd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Rbdeu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mille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viros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mil. u.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lugentum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lugentium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mucronem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hastae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hastam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numina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omnia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ne(1º)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aspectu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aspectam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aspectuu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aspectuum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aspectu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///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aspectu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habuisse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habuisse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aspectu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habuisse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lugentum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legentum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prioris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priori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scutis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arma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arma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arma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Th2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nunc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potest</w:t>
            </w:r>
            <w:proofErr w:type="spellEnd"/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locus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ille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exanimem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ad (2</w:t>
            </w:r>
            <w:r w:rsidRPr="001C00B7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sive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interempto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interfecto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victos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se Arcades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arcades se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victos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temere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tenere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proiecerit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proiecerat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produxerit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comitantum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e., </w:t>
            </w:r>
            <w:proofErr w:type="spellStart"/>
            <w:r w:rsidRPr="001C00B7">
              <w:rPr>
                <w:rFonts w:ascii="Calibri" w:eastAsia="Times New Roman" w:hAnsi="Calibri" w:cs="Calibri"/>
                <w:color w:val="000000"/>
              </w:rPr>
              <w:t>comitan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tium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comitatum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GEMITVQVe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Genitumque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NOS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huic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hunc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H.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AD LACRIMAS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A. D. L.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ceteros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alios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7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sepeliendos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qui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eodem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proelio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ceciderunt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Pc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AETERNVM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MIHI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maxime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palla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a&lt;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eternvmqve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&gt; vale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maxima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palla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m. p. a. q. vale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. P.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 vale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valde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possint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numquam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nusquam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Lh2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significationem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significatione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8192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vale’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non quod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valere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salvi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sed quod ab his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recedimus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eos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numquam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visuri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hinc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ortum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maledicti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significationem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interdum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‘vale’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obtineat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Terentius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(An. 696)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valeant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qui inter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nos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discidium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valeat ...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discidium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inter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nos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internas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. t. t. t. a. a.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discedant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discidant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recedant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mortuo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mortuo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ethimologia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etomologia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quibus</w:t>
            </w:r>
            <w:proofErr w:type="spellEnd"/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σ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aliquibus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ab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orando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perorando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γ W U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perorandi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perorandae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quiod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FINIRE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OLEAE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non(1º)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qui pro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mortuis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precabantur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  ...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precabantur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ferentes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tenentes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στ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έμμ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α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’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cteaaaaat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ἐν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χέρ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ιν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χ</w:t>
            </w:r>
            <w:r w:rsidRPr="001C00B7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ροιν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enxepin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velari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valeri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illo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illico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auro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vittisque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iuvencum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A. V. l.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U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haud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sed(2º)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sed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VENIAMQVE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VENIAM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PRECANTES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Ra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10.31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rogantes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MP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iuxta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iuxta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modum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dictum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morem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dictum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petentes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petentibus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FVSA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fusa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iacebant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fusa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fusa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epithetis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ephitis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0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fusus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’, vel ‘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metu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fusus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’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fusus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fusus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fusus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fusum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potestate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 se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CASSIS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40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privatis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luce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luce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Serv. ad A.  2.85;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autem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hoc loco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sequuntur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CASSIS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vacuis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tantum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interpretantur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et(2º)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sed et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36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vestimenta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araneorum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‘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casses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’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dicuntur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vestimenta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... 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Non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quoniam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ASPERNANDA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aspermanda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petebant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patebant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velle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ille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praestare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praestature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pacem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170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supra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quod spat. in fine paginate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reliquit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nullum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nulla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nullam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nullus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W U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certamen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sepultura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sepulturae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elegit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legitur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utrisque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utrisque</w:t>
            </w:r>
            <w:proofErr w:type="spellEnd"/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ipsa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efexegesis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mira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mira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68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109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involvit</w:t>
            </w:r>
            <w:proofErr w:type="spellEnd"/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involuit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C00B7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MARTIS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C00B7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mortis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0B7" w:rsidRPr="001C00B7" w:rsidTr="001C00B7">
        <w:trPr>
          <w:trHeight w:val="34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color w:val="000000"/>
              </w:rPr>
              <w:t>112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C00B7">
              <w:rPr>
                <w:rFonts w:ascii="Arial" w:eastAsia="Times New Roman" w:hAnsi="Arial" w:cs="Arial"/>
                <w:color w:val="000000"/>
              </w:rPr>
              <w:t>nec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</w:rPr>
              <w:t>veni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</w:rPr>
              <w:t> pro ‘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</w:rPr>
              <w:t>nec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</w:rPr>
              <w:t>venissem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</w:rPr>
              <w:t>’: tempus </w:t>
            </w:r>
            <w:proofErr w:type="spellStart"/>
            <w:r w:rsidRPr="001C00B7">
              <w:rPr>
                <w:rFonts w:ascii="Arial" w:eastAsia="Times New Roman" w:hAnsi="Arial" w:cs="Arial"/>
                <w:color w:val="000000"/>
              </w:rPr>
              <w:t>est</w:t>
            </w:r>
            <w:proofErr w:type="spellEnd"/>
            <w:r w:rsidRPr="001C00B7">
              <w:rPr>
                <w:rFonts w:ascii="Arial" w:eastAsia="Times New Roman" w:hAnsi="Arial" w:cs="Arial"/>
                <w:color w:val="000000"/>
              </w:rPr>
              <w:t> pro tempore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Lh2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C00B7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0B7" w:rsidRPr="001C00B7" w:rsidRDefault="001C00B7" w:rsidP="001C0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B7"/>
    <w:rsid w:val="000D096D"/>
    <w:rsid w:val="001C00B7"/>
    <w:rsid w:val="002E2EF2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282B21A9-EA20-8E4E-B8F6-1F6462FA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0B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0B7"/>
    <w:rPr>
      <w:color w:val="954F72"/>
      <w:u w:val="single"/>
    </w:rPr>
  </w:style>
  <w:style w:type="paragraph" w:customStyle="1" w:styleId="msonormal0">
    <w:name w:val="msonormal"/>
    <w:basedOn w:val="Normal"/>
    <w:rsid w:val="001C00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9">
    <w:name w:val="font9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10">
    <w:name w:val="font10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1">
    <w:name w:val="font11"/>
    <w:basedOn w:val="Normal"/>
    <w:rsid w:val="001C00B7"/>
    <w:pPr>
      <w:spacing w:before="100" w:beforeAutospacing="1" w:after="100" w:afterAutospacing="1"/>
    </w:pPr>
    <w:rPr>
      <w:rFonts w:ascii="Calibri" w:eastAsia="Times New Roman" w:hAnsi="Calibri" w:cs="Calibri"/>
      <w:color w:val="000000"/>
    </w:rPr>
  </w:style>
  <w:style w:type="paragraph" w:customStyle="1" w:styleId="font12">
    <w:name w:val="font12"/>
    <w:basedOn w:val="Normal"/>
    <w:rsid w:val="001C00B7"/>
    <w:pPr>
      <w:spacing w:before="100" w:beforeAutospacing="1" w:after="100" w:afterAutospacing="1"/>
    </w:pPr>
    <w:rPr>
      <w:rFonts w:ascii="MS Mincho" w:eastAsia="MS Mincho" w:hAnsi="MS Mincho" w:cs="Times New Roman"/>
      <w:color w:val="000000"/>
    </w:rPr>
  </w:style>
  <w:style w:type="paragraph" w:customStyle="1" w:styleId="xl65">
    <w:name w:val="xl65"/>
    <w:basedOn w:val="Normal"/>
    <w:rsid w:val="001C00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1C00B7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7">
    <w:name w:val="xl67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1C00B7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9">
    <w:name w:val="xl69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70">
    <w:name w:val="xl70"/>
    <w:basedOn w:val="Normal"/>
    <w:rsid w:val="001C00B7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1">
    <w:name w:val="xl71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2">
    <w:name w:val="xl72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3">
    <w:name w:val="xl73"/>
    <w:basedOn w:val="Normal"/>
    <w:rsid w:val="001C00B7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4">
    <w:name w:val="xl74"/>
    <w:basedOn w:val="Normal"/>
    <w:rsid w:val="001C00B7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18"/>
      <w:szCs w:val="18"/>
    </w:rPr>
  </w:style>
  <w:style w:type="paragraph" w:customStyle="1" w:styleId="xl75">
    <w:name w:val="xl75"/>
    <w:basedOn w:val="Normal"/>
    <w:rsid w:val="001C00B7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6">
    <w:name w:val="xl76"/>
    <w:basedOn w:val="Normal"/>
    <w:rsid w:val="001C00B7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7">
    <w:name w:val="xl77"/>
    <w:basedOn w:val="Normal"/>
    <w:rsid w:val="001C00B7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99</Pages>
  <Words>3404</Words>
  <Characters>19406</Characters>
  <Application>Microsoft Office Word</Application>
  <DocSecurity>0</DocSecurity>
  <Lines>161</Lines>
  <Paragraphs>45</Paragraphs>
  <ScaleCrop>false</ScaleCrop>
  <Company/>
  <LinksUpToDate>false</LinksUpToDate>
  <CharactersWithSpaces>22765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2019-10-29T00:40:00Z</dcterms:created>
  <dcterms:modified xsi:type="dcterms:W3CDTF">2019-10-29T00:42:00Z</dcterms:modified>
</cp:coreProperties>
</file>